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04" w:rsidRPr="002C0DB2" w:rsidRDefault="00F91304" w:rsidP="00F91304">
      <w:pPr>
        <w:rPr>
          <w:sz w:val="40"/>
          <w:szCs w:val="40"/>
        </w:rPr>
      </w:pPr>
    </w:p>
    <w:p w:rsidR="00F91304" w:rsidRPr="006F6F50" w:rsidRDefault="00F91304" w:rsidP="00F91304">
      <w:pPr>
        <w:rPr>
          <w:sz w:val="50"/>
          <w:szCs w:val="50"/>
        </w:rPr>
      </w:pPr>
    </w:p>
    <w:p w:rsidR="00F91304" w:rsidRPr="00801135" w:rsidRDefault="00F91304" w:rsidP="00D74499">
      <w:pPr>
        <w:pStyle w:val="NoSpacing"/>
        <w:spacing w:after="240"/>
        <w:rPr>
          <w:rFonts w:ascii="Arial" w:hAnsi="Arial" w:cs="Arial"/>
          <w:sz w:val="72"/>
          <w:szCs w:val="72"/>
        </w:rPr>
      </w:pPr>
      <w:bookmarkStart w:id="0" w:name="_GoBack"/>
      <w:bookmarkEnd w:id="0"/>
      <w:r w:rsidRPr="00801135">
        <w:rPr>
          <w:rFonts w:ascii="Arial" w:hAnsi="Arial" w:cs="Arial"/>
          <w:sz w:val="72"/>
          <w:szCs w:val="72"/>
        </w:rPr>
        <w:t xml:space="preserve">FY2018 </w:t>
      </w:r>
    </w:p>
    <w:p w:rsidR="00F91304" w:rsidRPr="00801135" w:rsidRDefault="0057702D" w:rsidP="00D74499">
      <w:pPr>
        <w:pStyle w:val="NoSpacing"/>
        <w:spacing w:after="240"/>
        <w:rPr>
          <w:rFonts w:ascii="Arial" w:hAnsi="Arial" w:cs="Arial"/>
          <w:sz w:val="56"/>
          <w:szCs w:val="56"/>
        </w:rPr>
      </w:pPr>
      <w:r w:rsidRPr="006624AD">
        <w:rPr>
          <w:rFonts w:ascii="Arial" w:hAnsi="Arial" w:cs="Arial"/>
          <w:b/>
          <w:sz w:val="56"/>
          <w:szCs w:val="56"/>
        </w:rPr>
        <w:t>P</w:t>
      </w:r>
      <w:r w:rsidR="00F91304" w:rsidRPr="00801135">
        <w:rPr>
          <w:rFonts w:ascii="Arial" w:hAnsi="Arial" w:cs="Arial"/>
          <w:sz w:val="56"/>
          <w:szCs w:val="56"/>
        </w:rPr>
        <w:t>romote</w:t>
      </w:r>
      <w:r w:rsidR="00F91304" w:rsidRPr="00801135">
        <w:rPr>
          <w:rFonts w:ascii="Arial" w:hAnsi="Arial" w:cs="Arial"/>
          <w:sz w:val="72"/>
          <w:szCs w:val="72"/>
        </w:rPr>
        <w:t xml:space="preserve"> </w:t>
      </w:r>
      <w:r w:rsidRPr="006624AD">
        <w:rPr>
          <w:rFonts w:ascii="Arial" w:hAnsi="Arial" w:cs="Arial"/>
          <w:b/>
          <w:sz w:val="56"/>
          <w:szCs w:val="72"/>
        </w:rPr>
        <w:t>M</w:t>
      </w:r>
      <w:r w:rsidR="00F91304" w:rsidRPr="00801135">
        <w:rPr>
          <w:rFonts w:ascii="Arial" w:hAnsi="Arial" w:cs="Arial"/>
          <w:sz w:val="56"/>
          <w:szCs w:val="56"/>
        </w:rPr>
        <w:t xml:space="preserve">issouri </w:t>
      </w:r>
      <w:r w:rsidR="00F91304" w:rsidRPr="006624AD">
        <w:rPr>
          <w:rFonts w:ascii="Arial" w:hAnsi="Arial" w:cs="Arial"/>
          <w:b/>
          <w:sz w:val="56"/>
          <w:szCs w:val="72"/>
        </w:rPr>
        <w:t>F</w:t>
      </w:r>
      <w:r w:rsidR="00F91304" w:rsidRPr="00801135">
        <w:rPr>
          <w:rFonts w:ascii="Arial" w:hAnsi="Arial" w:cs="Arial"/>
          <w:sz w:val="56"/>
          <w:szCs w:val="56"/>
        </w:rPr>
        <w:t xml:space="preserve">und </w:t>
      </w:r>
    </w:p>
    <w:p w:rsidR="00F01B45" w:rsidRDefault="00F91304" w:rsidP="006624AD">
      <w:pPr>
        <w:spacing w:after="0" w:line="240" w:lineRule="auto"/>
      </w:pPr>
      <w:r w:rsidRPr="006624AD">
        <w:rPr>
          <w:rFonts w:ascii="Arial" w:hAnsi="Arial" w:cs="Arial"/>
          <w:b/>
          <w:sz w:val="56"/>
          <w:szCs w:val="56"/>
        </w:rPr>
        <w:t>M</w:t>
      </w:r>
      <w:r w:rsidRPr="00801135">
        <w:rPr>
          <w:rFonts w:ascii="Arial" w:hAnsi="Arial" w:cs="Arial"/>
          <w:sz w:val="56"/>
          <w:szCs w:val="56"/>
        </w:rPr>
        <w:t xml:space="preserve">arketing </w:t>
      </w:r>
      <w:r w:rsidRPr="006624AD">
        <w:rPr>
          <w:rFonts w:ascii="Arial" w:hAnsi="Arial" w:cs="Arial"/>
          <w:b/>
          <w:sz w:val="56"/>
          <w:szCs w:val="56"/>
        </w:rPr>
        <w:t>M</w:t>
      </w:r>
      <w:r w:rsidRPr="00801135">
        <w:rPr>
          <w:rFonts w:ascii="Arial" w:hAnsi="Arial" w:cs="Arial"/>
          <w:sz w:val="56"/>
          <w:szCs w:val="56"/>
        </w:rPr>
        <w:t xml:space="preserve">atching </w:t>
      </w:r>
      <w:r w:rsidRPr="006624AD">
        <w:rPr>
          <w:rFonts w:ascii="Arial" w:hAnsi="Arial" w:cs="Arial"/>
          <w:b/>
          <w:sz w:val="56"/>
          <w:szCs w:val="56"/>
        </w:rPr>
        <w:t>G</w:t>
      </w:r>
      <w:r w:rsidRPr="00801135">
        <w:rPr>
          <w:rFonts w:ascii="Arial" w:hAnsi="Arial" w:cs="Arial"/>
          <w:sz w:val="56"/>
          <w:szCs w:val="56"/>
        </w:rPr>
        <w:t xml:space="preserve">rant </w:t>
      </w:r>
    </w:p>
    <w:p w:rsidR="00F91304" w:rsidRPr="00801135" w:rsidRDefault="00F929AE" w:rsidP="006624AD">
      <w:pPr>
        <w:spacing w:after="0" w:line="240" w:lineRule="auto"/>
        <w:rPr>
          <w:rFonts w:ascii="Arial" w:hAnsi="Arial" w:cs="Arial"/>
          <w:color w:val="000080"/>
          <w:sz w:val="56"/>
          <w:szCs w:val="56"/>
        </w:rPr>
      </w:pPr>
      <w:r>
        <w:rPr>
          <w:rFonts w:ascii="Arial" w:hAnsi="Arial" w:cs="Arial"/>
          <w:sz w:val="56"/>
          <w:szCs w:val="56"/>
        </w:rPr>
        <w:t>Program</w:t>
      </w:r>
      <w:r w:rsidR="006457BC">
        <w:rPr>
          <w:rFonts w:ascii="Arial" w:hAnsi="Arial" w:cs="Arial"/>
          <w:sz w:val="56"/>
          <w:szCs w:val="56"/>
        </w:rPr>
        <w:t xml:space="preserve"> </w:t>
      </w:r>
      <w:r w:rsidR="00F91304" w:rsidRPr="00801135">
        <w:rPr>
          <w:rFonts w:ascii="Arial" w:hAnsi="Arial" w:cs="Arial"/>
          <w:sz w:val="56"/>
          <w:szCs w:val="56"/>
        </w:rPr>
        <w:t>&amp; Reports Guide</w:t>
      </w:r>
      <w:r w:rsidR="00F91304" w:rsidRPr="00801135">
        <w:rPr>
          <w:rFonts w:ascii="Arial" w:hAnsi="Arial" w:cs="Arial"/>
          <w:color w:val="000080"/>
          <w:sz w:val="56"/>
          <w:szCs w:val="56"/>
        </w:rPr>
        <w:t xml:space="preserve"> </w:t>
      </w:r>
    </w:p>
    <w:p w:rsidR="00F91304" w:rsidRDefault="00F91304" w:rsidP="00F91304">
      <w:pPr>
        <w:pStyle w:val="BodyText"/>
        <w:rPr>
          <w:i/>
          <w:color w:val="000080"/>
          <w:sz w:val="52"/>
        </w:rPr>
      </w:pPr>
      <w:r>
        <w:rPr>
          <w:noProof/>
        </w:rPr>
        <w:drawing>
          <wp:anchor distT="0" distB="0" distL="114300" distR="114300" simplePos="0" relativeHeight="251661312" behindDoc="0" locked="0" layoutInCell="1" allowOverlap="1">
            <wp:simplePos x="0" y="0"/>
            <wp:positionH relativeFrom="column">
              <wp:posOffset>2209800</wp:posOffset>
            </wp:positionH>
            <wp:positionV relativeFrom="paragraph">
              <wp:posOffset>224155</wp:posOffset>
            </wp:positionV>
            <wp:extent cx="3810000" cy="1819275"/>
            <wp:effectExtent l="19050" t="0" r="0" b="0"/>
            <wp:wrapSquare wrapText="bothSides"/>
            <wp:docPr id="3" name="Picture 1" descr="EnjoyTheShow_11_26_4color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joyTheShow_11_26_4color_cmyk-01"/>
                    <pic:cNvPicPr>
                      <a:picLocks noChangeAspect="1" noChangeArrowheads="1"/>
                    </pic:cNvPicPr>
                  </pic:nvPicPr>
                  <pic:blipFill>
                    <a:blip r:embed="rId8" cstate="print"/>
                    <a:srcRect/>
                    <a:stretch>
                      <a:fillRect/>
                    </a:stretch>
                  </pic:blipFill>
                  <pic:spPr bwMode="auto">
                    <a:xfrm>
                      <a:off x="0" y="0"/>
                      <a:ext cx="3810000" cy="1819275"/>
                    </a:xfrm>
                    <a:prstGeom prst="rect">
                      <a:avLst/>
                    </a:prstGeom>
                    <a:noFill/>
                    <a:ln w="9525">
                      <a:noFill/>
                      <a:miter lim="800000"/>
                      <a:headEnd/>
                      <a:tailEnd/>
                    </a:ln>
                  </pic:spPr>
                </pic:pic>
              </a:graphicData>
            </a:graphic>
          </wp:anchor>
        </w:drawing>
      </w:r>
      <w:r w:rsidR="00A211B7">
        <w:rPr>
          <w:noProof/>
        </w:rPr>
        <w:pict>
          <v:line id="Straight Connector 1" o:spid="_x0000_s1026" style="position:absolute;z-index:251659264;visibility:visible;mso-position-horizontal-relative:text;mso-position-vertical-relative:text" from="-4pt,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Szy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"/>
        </w:pict>
      </w:r>
    </w:p>
    <w:p w:rsidR="00F91304" w:rsidRDefault="00F91304" w:rsidP="00F91304">
      <w:pPr>
        <w:pStyle w:val="Heading4"/>
        <w:spacing w:before="60"/>
        <w:ind w:left="0"/>
        <w:jc w:val="right"/>
      </w:pPr>
      <w:r>
        <w:rPr>
          <w:sz w:val="36"/>
        </w:rPr>
        <w:tab/>
      </w:r>
      <w:r>
        <w:rPr>
          <w:sz w:val="36"/>
        </w:rPr>
        <w:tab/>
      </w:r>
      <w:r>
        <w:rPr>
          <w:sz w:val="36"/>
        </w:rPr>
        <w:tab/>
      </w:r>
      <w:r>
        <w:rPr>
          <w:sz w:val="36"/>
        </w:rPr>
        <w:tab/>
      </w:r>
      <w:r>
        <w:rPr>
          <w:sz w:val="36"/>
        </w:rPr>
        <w:tab/>
      </w:r>
      <w:r>
        <w:rPr>
          <w:sz w:val="36"/>
        </w:rPr>
        <w:tab/>
      </w:r>
    </w:p>
    <w:p w:rsidR="00F91304" w:rsidRPr="0050421E" w:rsidRDefault="00F91304" w:rsidP="00F91304">
      <w:pPr>
        <w:rPr>
          <w:szCs w:val="16"/>
        </w:rPr>
      </w:pPr>
    </w:p>
    <w:p w:rsidR="00F91304" w:rsidRPr="0050421E" w:rsidRDefault="00F91304" w:rsidP="00F91304">
      <w:pPr>
        <w:rPr>
          <w:szCs w:val="16"/>
        </w:rPr>
      </w:pPr>
    </w:p>
    <w:p w:rsidR="00F91304" w:rsidRDefault="00F91304" w:rsidP="00F91304">
      <w:pPr>
        <w:pStyle w:val="Heading5"/>
        <w:pBdr>
          <w:top w:val="none" w:sz="0" w:space="0" w:color="auto"/>
          <w:left w:val="none" w:sz="0" w:space="0" w:color="auto"/>
          <w:bottom w:val="none" w:sz="0" w:space="0" w:color="auto"/>
          <w:right w:val="none" w:sz="0" w:space="0" w:color="auto"/>
        </w:pBdr>
        <w:rPr>
          <w:rFonts w:ascii="Arial Rounded MT Bold" w:hAnsi="Arial Rounded MT Bold" w:cs="Futura Lt BT"/>
          <w:b w:val="0"/>
          <w:bCs/>
          <w:sz w:val="20"/>
        </w:rPr>
      </w:pPr>
    </w:p>
    <w:p w:rsidR="00F91304" w:rsidRDefault="00F91304" w:rsidP="00F91304">
      <w:pPr>
        <w:spacing w:after="200" w:line="276" w:lineRule="auto"/>
      </w:pPr>
      <w:r>
        <w:t>.</w:t>
      </w: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Default="00F91304" w:rsidP="00F91304">
      <w:pPr>
        <w:spacing w:after="200" w:line="276" w:lineRule="auto"/>
      </w:pPr>
    </w:p>
    <w:p w:rsidR="00F91304" w:rsidRPr="00801135" w:rsidRDefault="00F91304" w:rsidP="00F91304">
      <w:pPr>
        <w:spacing w:after="200" w:line="276" w:lineRule="auto"/>
        <w:rPr>
          <w:rFonts w:ascii="Arial" w:hAnsi="Arial" w:cs="Arial"/>
          <w:bCs/>
          <w:sz w:val="20"/>
        </w:rPr>
      </w:pPr>
      <w:r w:rsidRPr="00801135">
        <w:rPr>
          <w:rFonts w:ascii="Arial" w:hAnsi="Arial" w:cs="Arial"/>
          <w:bCs/>
          <w:sz w:val="20"/>
        </w:rPr>
        <w:t>Published February 2017 for the FY2018 program year - July 1, 2017</w:t>
      </w:r>
      <w:r w:rsidR="006457BC">
        <w:rPr>
          <w:rFonts w:ascii="Arial" w:hAnsi="Arial" w:cs="Arial"/>
          <w:bCs/>
          <w:sz w:val="20"/>
        </w:rPr>
        <w:t>,</w:t>
      </w:r>
      <w:r w:rsidRPr="00801135">
        <w:rPr>
          <w:rFonts w:ascii="Arial" w:hAnsi="Arial" w:cs="Arial"/>
          <w:bCs/>
          <w:sz w:val="20"/>
        </w:rPr>
        <w:t xml:space="preserve"> through June 30, 2018</w:t>
      </w:r>
    </w:p>
    <w:p w:rsidR="00F91304" w:rsidRPr="00801135" w:rsidRDefault="00F91304" w:rsidP="00F91304">
      <w:pPr>
        <w:pStyle w:val="PlainText"/>
        <w:tabs>
          <w:tab w:val="left" w:leader="dot" w:pos="338"/>
          <w:tab w:val="right" w:leader="dot" w:pos="5040"/>
        </w:tabs>
        <w:rPr>
          <w:rFonts w:ascii="Arial" w:hAnsi="Arial" w:cs="Arial"/>
          <w:color w:val="000000"/>
          <w:sz w:val="16"/>
        </w:rPr>
      </w:pPr>
    </w:p>
    <w:p w:rsidR="00F91304" w:rsidRPr="00801135" w:rsidRDefault="00FD6342" w:rsidP="00F91304">
      <w:pPr>
        <w:pStyle w:val="PlainText"/>
        <w:tabs>
          <w:tab w:val="left" w:leader="dot" w:pos="338"/>
          <w:tab w:val="right" w:leader="dot" w:pos="5040"/>
        </w:tabs>
        <w:jc w:val="center"/>
        <w:rPr>
          <w:rFonts w:ascii="Arial" w:hAnsi="Arial" w:cs="Arial"/>
          <w:bCs/>
          <w:sz w:val="28"/>
        </w:rPr>
      </w:pPr>
      <w:r>
        <w:rPr>
          <w:rFonts w:ascii="Arial" w:hAnsi="Arial" w:cs="Arial"/>
          <w:bCs/>
          <w:sz w:val="28"/>
        </w:rPr>
        <w:t xml:space="preserve">Missouri </w:t>
      </w:r>
      <w:r w:rsidR="00F91304" w:rsidRPr="00801135">
        <w:rPr>
          <w:rFonts w:ascii="Arial" w:hAnsi="Arial" w:cs="Arial"/>
          <w:bCs/>
          <w:sz w:val="28"/>
        </w:rPr>
        <w:t>Division of Tourism</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301 West High Street, Room 290</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Jefferson City, MO 65101</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573-</w:t>
      </w:r>
      <w:r w:rsidR="00FD6342">
        <w:rPr>
          <w:rFonts w:ascii="Arial" w:hAnsi="Arial" w:cs="Arial"/>
          <w:bCs/>
          <w:sz w:val="22"/>
          <w:szCs w:val="22"/>
        </w:rPr>
        <w:t>526-5900</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304663"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304663">
        <w:rPr>
          <w:rFonts w:ascii="Arial" w:hAnsi="Arial" w:cs="Arial"/>
          <w:bCs/>
          <w:sz w:val="22"/>
          <w:szCs w:val="22"/>
        </w:rPr>
        <w:t xml:space="preserve">Governor </w:t>
      </w:r>
      <w:r w:rsidR="00BF70D1" w:rsidRPr="00304663">
        <w:rPr>
          <w:rFonts w:ascii="Arial" w:hAnsi="Arial" w:cs="Arial"/>
          <w:bCs/>
          <w:sz w:val="22"/>
          <w:szCs w:val="22"/>
        </w:rPr>
        <w:t>Eric</w:t>
      </w:r>
      <w:r w:rsidR="008A7152">
        <w:rPr>
          <w:rFonts w:ascii="Arial" w:hAnsi="Arial" w:cs="Arial"/>
          <w:bCs/>
          <w:sz w:val="22"/>
          <w:szCs w:val="22"/>
        </w:rPr>
        <w:t xml:space="preserve"> R.</w:t>
      </w:r>
      <w:r w:rsidR="00BF70D1" w:rsidRPr="00304663">
        <w:rPr>
          <w:rFonts w:ascii="Arial" w:hAnsi="Arial" w:cs="Arial"/>
          <w:bCs/>
          <w:sz w:val="22"/>
          <w:szCs w:val="22"/>
        </w:rPr>
        <w:t xml:space="preserve"> Greitens </w:t>
      </w:r>
    </w:p>
    <w:p w:rsidR="00F91304" w:rsidRPr="00304663"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304663" w:rsidRDefault="001B4093" w:rsidP="00F91304">
      <w:pPr>
        <w:pStyle w:val="PlainText"/>
        <w:tabs>
          <w:tab w:val="left" w:leader="dot" w:pos="338"/>
          <w:tab w:val="right" w:leader="dot" w:pos="5040"/>
        </w:tabs>
        <w:spacing w:line="276" w:lineRule="auto"/>
        <w:jc w:val="center"/>
        <w:rPr>
          <w:rFonts w:ascii="Arial" w:hAnsi="Arial" w:cs="Arial"/>
          <w:bCs/>
          <w:sz w:val="22"/>
          <w:szCs w:val="22"/>
          <w:u w:val="single"/>
        </w:rPr>
      </w:pPr>
      <w:r w:rsidRPr="00304663">
        <w:rPr>
          <w:rFonts w:ascii="Arial" w:hAnsi="Arial" w:cs="Arial"/>
          <w:bCs/>
          <w:sz w:val="22"/>
          <w:szCs w:val="22"/>
          <w:u w:val="single"/>
        </w:rPr>
        <w:t>Missouri Tourism Commission</w:t>
      </w:r>
    </w:p>
    <w:p w:rsidR="00F91304" w:rsidRPr="00304663"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304663">
        <w:rPr>
          <w:rFonts w:ascii="Arial" w:hAnsi="Arial" w:cs="Arial"/>
          <w:bCs/>
          <w:sz w:val="22"/>
          <w:szCs w:val="22"/>
        </w:rPr>
        <w:t>Scott Hovis, Chairman</w:t>
      </w:r>
    </w:p>
    <w:p w:rsidR="00F91304" w:rsidRPr="00304663"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304663">
        <w:rPr>
          <w:rFonts w:ascii="Arial" w:hAnsi="Arial" w:cs="Arial"/>
          <w:bCs/>
          <w:sz w:val="22"/>
          <w:szCs w:val="22"/>
        </w:rPr>
        <w:t>Brenda Tinnen, Vice-Chairman</w:t>
      </w:r>
    </w:p>
    <w:p w:rsidR="00F91304" w:rsidRPr="00304663"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304663">
        <w:rPr>
          <w:rFonts w:ascii="Arial" w:hAnsi="Arial" w:cs="Arial"/>
          <w:bCs/>
          <w:sz w:val="22"/>
          <w:szCs w:val="22"/>
        </w:rPr>
        <w:t xml:space="preserve">Lt. Governor </w:t>
      </w:r>
      <w:r w:rsidR="00B37C46" w:rsidRPr="00304663">
        <w:rPr>
          <w:rFonts w:ascii="Arial" w:hAnsi="Arial" w:cs="Arial"/>
          <w:bCs/>
          <w:sz w:val="22"/>
          <w:szCs w:val="22"/>
        </w:rPr>
        <w:t>Mike Parson</w:t>
      </w:r>
    </w:p>
    <w:p w:rsidR="00F91304" w:rsidRPr="00304663"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304663">
        <w:rPr>
          <w:rFonts w:ascii="Arial" w:hAnsi="Arial" w:cs="Arial"/>
          <w:bCs/>
          <w:sz w:val="22"/>
          <w:szCs w:val="22"/>
        </w:rPr>
        <w:t>Senator David Sater</w:t>
      </w:r>
    </w:p>
    <w:p w:rsidR="00F91304" w:rsidRPr="00304663"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304663">
        <w:rPr>
          <w:rFonts w:ascii="Arial" w:hAnsi="Arial" w:cs="Arial"/>
          <w:bCs/>
          <w:sz w:val="22"/>
          <w:szCs w:val="22"/>
        </w:rPr>
        <w:lastRenderedPageBreak/>
        <w:t>Senator Gina Walsh</w:t>
      </w:r>
    </w:p>
    <w:p w:rsidR="00F91304" w:rsidRPr="00304663"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304663">
        <w:rPr>
          <w:rFonts w:ascii="Arial" w:hAnsi="Arial" w:cs="Arial"/>
          <w:bCs/>
          <w:sz w:val="22"/>
          <w:szCs w:val="22"/>
        </w:rPr>
        <w:t>Representative Don Phillips</w:t>
      </w:r>
    </w:p>
    <w:p w:rsidR="00F91304" w:rsidRPr="00304663"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304663">
        <w:rPr>
          <w:rFonts w:ascii="Arial" w:hAnsi="Arial" w:cs="Arial"/>
          <w:bCs/>
          <w:sz w:val="22"/>
          <w:szCs w:val="22"/>
        </w:rPr>
        <w:t>Representative Michele Kratky</w:t>
      </w:r>
    </w:p>
    <w:p w:rsidR="00F91304" w:rsidRPr="00304663" w:rsidRDefault="00F46DBE" w:rsidP="00F91304">
      <w:pPr>
        <w:pStyle w:val="PlainText"/>
        <w:tabs>
          <w:tab w:val="left" w:leader="dot" w:pos="338"/>
          <w:tab w:val="right" w:leader="dot" w:pos="5040"/>
        </w:tabs>
        <w:spacing w:line="276" w:lineRule="auto"/>
        <w:jc w:val="center"/>
        <w:rPr>
          <w:rFonts w:ascii="Arial" w:hAnsi="Arial" w:cs="Arial"/>
          <w:bCs/>
          <w:sz w:val="22"/>
          <w:szCs w:val="22"/>
        </w:rPr>
      </w:pPr>
      <w:r>
        <w:rPr>
          <w:rFonts w:ascii="Arial" w:hAnsi="Arial" w:cs="Arial"/>
          <w:bCs/>
          <w:sz w:val="22"/>
          <w:szCs w:val="22"/>
        </w:rPr>
        <w:t>David Corley</w:t>
      </w:r>
    </w:p>
    <w:p w:rsidR="00F91304" w:rsidRPr="00304663"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304663">
        <w:rPr>
          <w:rFonts w:ascii="Arial" w:hAnsi="Arial" w:cs="Arial"/>
          <w:bCs/>
          <w:sz w:val="22"/>
          <w:szCs w:val="22"/>
        </w:rPr>
        <w:t>John Joslyn</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304663">
        <w:rPr>
          <w:rFonts w:ascii="Arial" w:hAnsi="Arial" w:cs="Arial"/>
          <w:bCs/>
          <w:sz w:val="22"/>
          <w:szCs w:val="22"/>
        </w:rPr>
        <w:t>Eric Rhone</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
          <w:bCs/>
          <w:sz w:val="22"/>
          <w:szCs w:val="22"/>
        </w:rPr>
      </w:pP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Director</w:t>
      </w:r>
      <w:r w:rsidRPr="00801135">
        <w:rPr>
          <w:rFonts w:ascii="Arial" w:hAnsi="Arial" w:cs="Arial"/>
          <w:b/>
          <w:bCs/>
          <w:sz w:val="22"/>
          <w:szCs w:val="22"/>
        </w:rPr>
        <w:t xml:space="preserve"> </w:t>
      </w:r>
      <w:r w:rsidRPr="00801135">
        <w:rPr>
          <w:rFonts w:ascii="Arial" w:hAnsi="Arial" w:cs="Arial"/>
          <w:bCs/>
          <w:sz w:val="22"/>
          <w:szCs w:val="22"/>
        </w:rPr>
        <w:t>Dan Lennon</w:t>
      </w:r>
    </w:p>
    <w:p w:rsidR="00F91304" w:rsidRPr="00801135" w:rsidRDefault="00F91304" w:rsidP="00F91304">
      <w:pPr>
        <w:pStyle w:val="PlainText"/>
        <w:tabs>
          <w:tab w:val="left" w:leader="dot" w:pos="338"/>
          <w:tab w:val="right" w:leader="dot" w:pos="5040"/>
        </w:tabs>
        <w:spacing w:line="276" w:lineRule="auto"/>
        <w:jc w:val="center"/>
        <w:rPr>
          <w:rFonts w:ascii="Arial" w:hAnsi="Arial" w:cs="Arial"/>
          <w:bCs/>
          <w:sz w:val="22"/>
          <w:szCs w:val="22"/>
        </w:rPr>
      </w:pPr>
      <w:r w:rsidRPr="00801135">
        <w:rPr>
          <w:rFonts w:ascii="Arial" w:hAnsi="Arial" w:cs="Arial"/>
          <w:bCs/>
          <w:sz w:val="22"/>
          <w:szCs w:val="22"/>
        </w:rPr>
        <w:t xml:space="preserve"> </w:t>
      </w:r>
    </w:p>
    <w:p w:rsidR="00F91304" w:rsidRDefault="00F91304" w:rsidP="00F91304">
      <w:pPr>
        <w:pStyle w:val="PlainText"/>
        <w:tabs>
          <w:tab w:val="left" w:leader="dot" w:pos="338"/>
          <w:tab w:val="right" w:leader="dot" w:pos="5040"/>
        </w:tabs>
        <w:spacing w:line="276" w:lineRule="auto"/>
        <w:jc w:val="center"/>
        <w:rPr>
          <w:rFonts w:ascii="Arial" w:hAnsi="Arial" w:cs="Arial"/>
          <w:bCs/>
          <w:sz w:val="20"/>
        </w:rPr>
      </w:pPr>
    </w:p>
    <w:p w:rsidR="00F91304" w:rsidRDefault="00F91304" w:rsidP="00F91304">
      <w:pPr>
        <w:pStyle w:val="PlainText"/>
        <w:tabs>
          <w:tab w:val="left" w:leader="dot" w:pos="338"/>
          <w:tab w:val="right" w:leader="dot" w:pos="5040"/>
        </w:tabs>
        <w:spacing w:line="276" w:lineRule="auto"/>
        <w:jc w:val="center"/>
        <w:rPr>
          <w:rFonts w:ascii="Arial" w:hAnsi="Arial" w:cs="Arial"/>
          <w:b/>
          <w:bCs/>
          <w:sz w:val="20"/>
        </w:rPr>
      </w:pPr>
    </w:p>
    <w:p w:rsidR="00F91304" w:rsidRDefault="00F91304" w:rsidP="00F91304">
      <w:pPr>
        <w:pStyle w:val="PlainText"/>
        <w:tabs>
          <w:tab w:val="left" w:leader="dot" w:pos="338"/>
          <w:tab w:val="right" w:leader="dot" w:pos="5040"/>
        </w:tabs>
        <w:jc w:val="center"/>
        <w:rPr>
          <w:rFonts w:ascii="Arial" w:hAnsi="Arial" w:cs="Arial"/>
          <w:b/>
          <w:bCs/>
          <w:sz w:val="20"/>
        </w:rPr>
      </w:pPr>
    </w:p>
    <w:p w:rsidR="00F91304" w:rsidRDefault="00F91304" w:rsidP="00F91304">
      <w:pPr>
        <w:pStyle w:val="PlainText"/>
        <w:tabs>
          <w:tab w:val="left" w:leader="dot" w:pos="338"/>
          <w:tab w:val="right" w:leader="dot" w:pos="5040"/>
        </w:tabs>
        <w:jc w:val="center"/>
        <w:rPr>
          <w:rFonts w:ascii="Arial" w:hAnsi="Arial" w:cs="Arial"/>
          <w:b/>
          <w:bCs/>
          <w:sz w:val="20"/>
        </w:rPr>
      </w:pPr>
      <w:r>
        <w:rPr>
          <w:rFonts w:ascii="Arial" w:hAnsi="Arial" w:cs="Arial"/>
          <w:b/>
          <w:bCs/>
          <w:noProof/>
          <w:sz w:val="20"/>
        </w:rPr>
        <w:drawing>
          <wp:inline distT="0" distB="0" distL="0" distR="0">
            <wp:extent cx="1952625" cy="1971675"/>
            <wp:effectExtent l="19050" t="0" r="9525" b="0"/>
            <wp:docPr id="2" name="Picture 2" descr="MOseal from Je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eal from Jeff"/>
                    <pic:cNvPicPr>
                      <a:picLocks noChangeAspect="1" noChangeArrowheads="1"/>
                    </pic:cNvPicPr>
                  </pic:nvPicPr>
                  <pic:blipFill>
                    <a:blip r:embed="rId9" cstate="print"/>
                    <a:srcRect/>
                    <a:stretch>
                      <a:fillRect/>
                    </a:stretch>
                  </pic:blipFill>
                  <pic:spPr bwMode="auto">
                    <a:xfrm>
                      <a:off x="0" y="0"/>
                      <a:ext cx="1952625" cy="1971675"/>
                    </a:xfrm>
                    <a:prstGeom prst="rect">
                      <a:avLst/>
                    </a:prstGeom>
                    <a:noFill/>
                    <a:ln w="9525">
                      <a:noFill/>
                      <a:miter lim="800000"/>
                      <a:headEnd/>
                      <a:tailEnd/>
                    </a:ln>
                  </pic:spPr>
                </pic:pic>
              </a:graphicData>
            </a:graphic>
          </wp:inline>
        </w:drawing>
      </w:r>
    </w:p>
    <w:p w:rsidR="005C1A1C" w:rsidRDefault="005C1A1C" w:rsidP="005C1A1C">
      <w:pPr>
        <w:pStyle w:val="PlainText"/>
        <w:tabs>
          <w:tab w:val="left" w:leader="dot" w:pos="338"/>
          <w:tab w:val="right" w:leader="dot" w:pos="5040"/>
        </w:tabs>
        <w:rPr>
          <w:rFonts w:ascii="Arial Rounded MT Bold" w:hAnsi="Arial Rounded MT Bold"/>
          <w:sz w:val="56"/>
          <w:szCs w:val="56"/>
        </w:rPr>
      </w:pPr>
    </w:p>
    <w:p w:rsidR="00787FD6" w:rsidRDefault="00787FD6" w:rsidP="005C1A1C">
      <w:pPr>
        <w:pStyle w:val="PlainText"/>
        <w:tabs>
          <w:tab w:val="left" w:leader="dot" w:pos="338"/>
          <w:tab w:val="right" w:leader="dot" w:pos="5040"/>
        </w:tabs>
        <w:jc w:val="center"/>
        <w:rPr>
          <w:rFonts w:ascii="Arial" w:hAnsi="Arial" w:cs="Arial"/>
          <w:b/>
          <w:sz w:val="56"/>
          <w:szCs w:val="56"/>
        </w:rPr>
      </w:pPr>
    </w:p>
    <w:p w:rsidR="00F91304" w:rsidRPr="00801135" w:rsidRDefault="00F91304" w:rsidP="005C1A1C">
      <w:pPr>
        <w:pStyle w:val="PlainText"/>
        <w:tabs>
          <w:tab w:val="left" w:leader="dot" w:pos="338"/>
          <w:tab w:val="right" w:leader="dot" w:pos="5040"/>
        </w:tabs>
        <w:jc w:val="center"/>
        <w:rPr>
          <w:rFonts w:ascii="Arial" w:hAnsi="Arial" w:cs="Arial"/>
          <w:b/>
          <w:sz w:val="22"/>
        </w:rPr>
      </w:pPr>
      <w:r w:rsidRPr="00801135">
        <w:rPr>
          <w:rFonts w:ascii="Arial" w:hAnsi="Arial" w:cs="Arial"/>
          <w:b/>
          <w:sz w:val="56"/>
          <w:szCs w:val="56"/>
        </w:rPr>
        <w:lastRenderedPageBreak/>
        <w:t>Missouri Tourism Regions</w:t>
      </w:r>
    </w:p>
    <w:p w:rsidR="00F91304" w:rsidRDefault="00F91304" w:rsidP="00F91304">
      <w:pPr>
        <w:pStyle w:val="PlainText"/>
        <w:tabs>
          <w:tab w:val="left" w:leader="dot" w:pos="338"/>
          <w:tab w:val="right" w:leader="dot" w:pos="5040"/>
        </w:tabs>
        <w:spacing w:before="600"/>
        <w:jc w:val="center"/>
        <w:rPr>
          <w:rFonts w:ascii="Arial" w:hAnsi="Arial"/>
          <w:b/>
          <w:sz w:val="22"/>
        </w:rPr>
      </w:pPr>
      <w:r>
        <w:rPr>
          <w:rFonts w:ascii="Arial" w:hAnsi="Arial"/>
          <w:b/>
          <w:noProof/>
          <w:sz w:val="22"/>
        </w:rPr>
        <w:drawing>
          <wp:anchor distT="0" distB="0" distL="114300" distR="114300" simplePos="0" relativeHeight="251660288" behindDoc="0" locked="0" layoutInCell="1" allowOverlap="1">
            <wp:simplePos x="933450" y="1914525"/>
            <wp:positionH relativeFrom="margin">
              <wp:align>center</wp:align>
            </wp:positionH>
            <wp:positionV relativeFrom="margin">
              <wp:align>center</wp:align>
            </wp:positionV>
            <wp:extent cx="6343650" cy="536257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343650" cy="5362575"/>
                    </a:xfrm>
                    <a:prstGeom prst="rect">
                      <a:avLst/>
                    </a:prstGeom>
                    <a:noFill/>
                    <a:ln w="9525">
                      <a:noFill/>
                      <a:miter lim="800000"/>
                      <a:headEnd/>
                      <a:tailEnd/>
                    </a:ln>
                  </pic:spPr>
                </pic:pic>
              </a:graphicData>
            </a:graphic>
          </wp:anchor>
        </w:drawing>
      </w:r>
    </w:p>
    <w:p w:rsidR="00F91304" w:rsidRPr="00ED7975" w:rsidRDefault="00F91304" w:rsidP="00F91304">
      <w:pPr>
        <w:pStyle w:val="PlainText"/>
        <w:tabs>
          <w:tab w:val="left" w:leader="dot" w:pos="338"/>
          <w:tab w:val="right" w:leader="dot" w:pos="5040"/>
        </w:tabs>
        <w:jc w:val="center"/>
        <w:rPr>
          <w:rFonts w:ascii="Arial" w:hAnsi="Arial" w:cs="Arial"/>
          <w:b/>
          <w:bCs/>
          <w:sz w:val="20"/>
        </w:rPr>
      </w:pPr>
    </w:p>
    <w:p w:rsidR="00F91304" w:rsidRDefault="00F91304" w:rsidP="00F91304"/>
    <w:p w:rsidR="005C1A1C" w:rsidRDefault="005C1A1C" w:rsidP="00F91304"/>
    <w:p w:rsidR="005C1A1C" w:rsidRDefault="005C1A1C" w:rsidP="00F91304"/>
    <w:p w:rsidR="005C1A1C" w:rsidRDefault="005C1A1C" w:rsidP="00F91304"/>
    <w:p w:rsidR="009C44A4" w:rsidRPr="006C064D" w:rsidRDefault="009C44A4" w:rsidP="009C44A4">
      <w:pPr>
        <w:rPr>
          <w:rFonts w:ascii="Arial" w:hAnsi="Arial" w:cs="Arial"/>
        </w:rPr>
      </w:pPr>
      <w:r w:rsidRPr="006C064D">
        <w:rPr>
          <w:rFonts w:ascii="Arial" w:hAnsi="Arial" w:cs="Arial"/>
        </w:rPr>
        <w:lastRenderedPageBreak/>
        <w:t xml:space="preserve">The Missouri Division of Tourism (MDT) partners with Destination Marketing Organizations (DMOs) all over the state to advertise and promote Missouri’s vast array of tourism assets.  The Division’s Promote Missouri Fund (PMF) invests in projects that are specifically designed to increase visitation and visitor spending throughout the state.  </w:t>
      </w:r>
    </w:p>
    <w:p w:rsidR="009C44A4" w:rsidRPr="006C064D" w:rsidRDefault="009C44A4" w:rsidP="009C44A4">
      <w:pPr>
        <w:rPr>
          <w:rFonts w:ascii="Arial" w:hAnsi="Arial" w:cs="Arial"/>
        </w:rPr>
      </w:pPr>
      <w:r w:rsidRPr="006C064D">
        <w:rPr>
          <w:rFonts w:ascii="Arial" w:hAnsi="Arial" w:cs="Arial"/>
        </w:rPr>
        <w:t xml:space="preserve">In order to reach the goals established in the MDT strategic plan, the goals and executions of the PMF are aligned with MDT’s overall strategic goals. Funds are distributed </w:t>
      </w:r>
      <w:r w:rsidRPr="00155853">
        <w:rPr>
          <w:rFonts w:ascii="Arial" w:hAnsi="Arial" w:cs="Arial"/>
        </w:rPr>
        <w:t>among two separate matching</w:t>
      </w:r>
      <w:r w:rsidRPr="006C064D">
        <w:rPr>
          <w:rFonts w:ascii="Arial" w:hAnsi="Arial" w:cs="Arial"/>
        </w:rPr>
        <w:t xml:space="preserve"> grant programs</w:t>
      </w:r>
      <w:r>
        <w:rPr>
          <w:rFonts w:ascii="Arial" w:hAnsi="Arial" w:cs="Arial"/>
        </w:rPr>
        <w:t>, the Marketing Matching Grant and the Marketing Platform Development Grant</w:t>
      </w:r>
      <w:r w:rsidRPr="006C064D">
        <w:rPr>
          <w:rFonts w:ascii="Arial" w:hAnsi="Arial" w:cs="Arial"/>
        </w:rPr>
        <w:t>.</w:t>
      </w:r>
    </w:p>
    <w:p w:rsidR="009C44A4" w:rsidRPr="006C064D" w:rsidRDefault="009C44A4" w:rsidP="009C44A4">
      <w:pPr>
        <w:pStyle w:val="BodyText"/>
        <w:spacing w:line="240" w:lineRule="auto"/>
        <w:rPr>
          <w:rFonts w:cs="Arial"/>
          <w:b/>
          <w:sz w:val="22"/>
          <w:szCs w:val="22"/>
        </w:rPr>
      </w:pPr>
      <w:r w:rsidRPr="006C064D">
        <w:rPr>
          <w:rFonts w:cs="Arial"/>
          <w:sz w:val="22"/>
          <w:szCs w:val="22"/>
        </w:rPr>
        <w:t>The MDT will fund qualified advertising and marketing projects to achieve the following PMF objectives:</w:t>
      </w:r>
    </w:p>
    <w:p w:rsidR="009C44A4" w:rsidRPr="006C064D" w:rsidRDefault="009C44A4" w:rsidP="009C44A4">
      <w:pPr>
        <w:pStyle w:val="ListParagraph"/>
        <w:numPr>
          <w:ilvl w:val="0"/>
          <w:numId w:val="2"/>
        </w:numPr>
        <w:spacing w:after="0" w:line="240" w:lineRule="auto"/>
        <w:ind w:left="900" w:hanging="180"/>
        <w:contextualSpacing w:val="0"/>
        <w:rPr>
          <w:rFonts w:ascii="Arial" w:hAnsi="Arial" w:cs="Arial"/>
        </w:rPr>
      </w:pPr>
      <w:r w:rsidRPr="006C064D">
        <w:rPr>
          <w:rFonts w:ascii="Arial" w:hAnsi="Arial" w:cs="Arial"/>
        </w:rPr>
        <w:t>Support and further MDT’s overall annual marketing strategy as outlined in the annual marketing plan and position Missouri to compete more effectively for travel and tourism market share during the next decade.</w:t>
      </w:r>
      <w:r w:rsidRPr="006C064D" w:rsidDel="00CA6591">
        <w:rPr>
          <w:rFonts w:ascii="Arial" w:hAnsi="Arial" w:cs="Arial"/>
        </w:rPr>
        <w:t xml:space="preserve"> </w:t>
      </w:r>
    </w:p>
    <w:p w:rsidR="009C44A4" w:rsidRPr="006C064D" w:rsidRDefault="009C44A4" w:rsidP="009C44A4">
      <w:pPr>
        <w:pStyle w:val="ListParagraph"/>
        <w:numPr>
          <w:ilvl w:val="0"/>
          <w:numId w:val="2"/>
        </w:numPr>
        <w:tabs>
          <w:tab w:val="left" w:pos="360"/>
        </w:tabs>
        <w:spacing w:after="0" w:line="240" w:lineRule="auto"/>
        <w:ind w:left="900" w:hanging="180"/>
        <w:contextualSpacing w:val="0"/>
        <w:rPr>
          <w:rFonts w:ascii="Arial" w:hAnsi="Arial" w:cs="Arial"/>
        </w:rPr>
      </w:pPr>
      <w:r w:rsidRPr="006C064D">
        <w:rPr>
          <w:rFonts w:ascii="Arial" w:hAnsi="Arial" w:cs="Arial"/>
        </w:rPr>
        <w:t>Create programs based on the common marketing goals of MDT and the DMO, thereby creating mutually beneficial marketing executions.</w:t>
      </w:r>
    </w:p>
    <w:p w:rsidR="009C44A4" w:rsidRDefault="009C44A4" w:rsidP="009C44A4">
      <w:pPr>
        <w:pStyle w:val="ListParagraph"/>
        <w:numPr>
          <w:ilvl w:val="0"/>
          <w:numId w:val="2"/>
        </w:numPr>
        <w:tabs>
          <w:tab w:val="left" w:pos="360"/>
        </w:tabs>
        <w:spacing w:after="0" w:line="240" w:lineRule="auto"/>
        <w:ind w:left="900" w:hanging="180"/>
        <w:contextualSpacing w:val="0"/>
        <w:rPr>
          <w:rFonts w:ascii="Arial" w:hAnsi="Arial" w:cs="Arial"/>
        </w:rPr>
      </w:pPr>
      <w:r w:rsidRPr="006C064D">
        <w:rPr>
          <w:rFonts w:ascii="Arial" w:hAnsi="Arial" w:cs="Arial"/>
        </w:rPr>
        <w:t>Create a program that is efficient to implement for both MDT and its partners.</w:t>
      </w:r>
    </w:p>
    <w:p w:rsidR="009C44A4" w:rsidRPr="006C064D" w:rsidRDefault="009C44A4" w:rsidP="004C34E7">
      <w:pPr>
        <w:pStyle w:val="ListParagraph"/>
        <w:tabs>
          <w:tab w:val="left" w:pos="360"/>
        </w:tabs>
        <w:spacing w:after="0" w:line="240" w:lineRule="auto"/>
        <w:ind w:left="900"/>
        <w:contextualSpacing w:val="0"/>
        <w:rPr>
          <w:rFonts w:ascii="Arial" w:hAnsi="Arial" w:cs="Arial"/>
        </w:rPr>
      </w:pPr>
    </w:p>
    <w:p w:rsidR="005C1A1C" w:rsidRDefault="007320C2" w:rsidP="00AD5277">
      <w:pPr>
        <w:spacing w:after="0" w:line="240" w:lineRule="auto"/>
        <w:rPr>
          <w:rFonts w:ascii="Arial" w:hAnsi="Arial" w:cs="Arial"/>
          <w:b/>
          <w:sz w:val="24"/>
          <w:szCs w:val="24"/>
          <w:u w:val="single"/>
        </w:rPr>
      </w:pPr>
      <w:r w:rsidRPr="00AD5277">
        <w:rPr>
          <w:rFonts w:ascii="Arial" w:hAnsi="Arial" w:cs="Arial"/>
          <w:b/>
          <w:sz w:val="24"/>
          <w:szCs w:val="24"/>
          <w:u w:val="single"/>
        </w:rPr>
        <w:t>M</w:t>
      </w:r>
      <w:r w:rsidR="00EF73A9">
        <w:rPr>
          <w:rFonts w:ascii="Arial" w:hAnsi="Arial" w:cs="Arial"/>
          <w:b/>
          <w:sz w:val="24"/>
          <w:szCs w:val="24"/>
          <w:u w:val="single"/>
        </w:rPr>
        <w:t>arketing Matching Grant</w:t>
      </w:r>
      <w:r w:rsidRPr="00AD5277">
        <w:rPr>
          <w:rFonts w:ascii="Arial" w:hAnsi="Arial" w:cs="Arial"/>
          <w:b/>
          <w:sz w:val="24"/>
          <w:szCs w:val="24"/>
          <w:u w:val="single"/>
        </w:rPr>
        <w:t xml:space="preserve"> </w:t>
      </w:r>
      <w:r w:rsidR="00D74499" w:rsidRPr="00AD5277">
        <w:rPr>
          <w:rFonts w:ascii="Arial" w:hAnsi="Arial" w:cs="Arial"/>
          <w:b/>
          <w:sz w:val="24"/>
          <w:szCs w:val="24"/>
          <w:u w:val="single"/>
        </w:rPr>
        <w:t>Overview</w:t>
      </w:r>
    </w:p>
    <w:p w:rsidR="00960D8C" w:rsidRPr="00ED3A25" w:rsidRDefault="00960D8C" w:rsidP="00AD5277">
      <w:pPr>
        <w:spacing w:after="0" w:line="240" w:lineRule="auto"/>
        <w:rPr>
          <w:rFonts w:ascii="Arial" w:hAnsi="Arial" w:cs="Arial"/>
          <w:b/>
          <w:sz w:val="16"/>
          <w:szCs w:val="16"/>
          <w:u w:val="single"/>
        </w:rPr>
      </w:pPr>
    </w:p>
    <w:p w:rsidR="00801135" w:rsidRPr="00AD5277" w:rsidRDefault="00801135" w:rsidP="00AD5277">
      <w:pPr>
        <w:pStyle w:val="BodyText"/>
        <w:keepNext/>
        <w:spacing w:line="240" w:lineRule="auto"/>
        <w:rPr>
          <w:rFonts w:cs="Arial"/>
          <w:bCs/>
          <w:sz w:val="22"/>
          <w:szCs w:val="22"/>
        </w:rPr>
      </w:pPr>
      <w:r w:rsidRPr="00AD5277">
        <w:rPr>
          <w:rFonts w:cs="Arial"/>
          <w:bCs/>
          <w:sz w:val="22"/>
          <w:szCs w:val="22"/>
        </w:rPr>
        <w:t xml:space="preserve">The </w:t>
      </w:r>
      <w:r w:rsidR="00DA57F3">
        <w:rPr>
          <w:rFonts w:cs="Arial"/>
          <w:bCs/>
          <w:sz w:val="22"/>
          <w:szCs w:val="22"/>
        </w:rPr>
        <w:t>Marketing Matching Grant (MMG), par</w:t>
      </w:r>
      <w:r w:rsidR="009C44A4">
        <w:rPr>
          <w:rFonts w:cs="Arial"/>
          <w:bCs/>
          <w:sz w:val="22"/>
          <w:szCs w:val="22"/>
        </w:rPr>
        <w:t xml:space="preserve">t </w:t>
      </w:r>
      <w:r w:rsidR="00DB1C04">
        <w:rPr>
          <w:rFonts w:cs="Arial"/>
          <w:bCs/>
          <w:sz w:val="22"/>
          <w:szCs w:val="22"/>
        </w:rPr>
        <w:t xml:space="preserve">of </w:t>
      </w:r>
      <w:r w:rsidR="009C44A4">
        <w:rPr>
          <w:rFonts w:cs="Arial"/>
          <w:bCs/>
          <w:sz w:val="22"/>
          <w:szCs w:val="22"/>
        </w:rPr>
        <w:t>PMF</w:t>
      </w:r>
      <w:r w:rsidR="00DA57F3">
        <w:rPr>
          <w:rFonts w:cs="Arial"/>
          <w:bCs/>
          <w:sz w:val="22"/>
          <w:szCs w:val="22"/>
        </w:rPr>
        <w:t>,</w:t>
      </w:r>
      <w:r w:rsidRPr="00AD5277">
        <w:rPr>
          <w:rFonts w:cs="Arial"/>
          <w:bCs/>
          <w:sz w:val="22"/>
          <w:szCs w:val="22"/>
        </w:rPr>
        <w:t xml:space="preserve"> is designed to </w:t>
      </w:r>
      <w:r w:rsidR="00E928BA">
        <w:rPr>
          <w:rFonts w:cs="Arial"/>
          <w:bCs/>
          <w:sz w:val="22"/>
          <w:szCs w:val="22"/>
        </w:rPr>
        <w:t xml:space="preserve">primarily target the leisure traveler and reimburse up to </w:t>
      </w:r>
      <w:r w:rsidR="00DB1C04">
        <w:rPr>
          <w:rFonts w:cs="Arial"/>
          <w:bCs/>
          <w:sz w:val="22"/>
          <w:szCs w:val="22"/>
        </w:rPr>
        <w:t>50</w:t>
      </w:r>
      <w:r w:rsidR="00E928BA">
        <w:rPr>
          <w:rFonts w:cs="Arial"/>
          <w:bCs/>
          <w:sz w:val="22"/>
          <w:szCs w:val="22"/>
        </w:rPr>
        <w:t xml:space="preserve"> percent of a</w:t>
      </w:r>
      <w:r w:rsidR="009C44A4">
        <w:rPr>
          <w:sz w:val="22"/>
          <w:szCs w:val="22"/>
        </w:rPr>
        <w:t xml:space="preserve"> </w:t>
      </w:r>
      <w:r w:rsidR="00950B8E" w:rsidRPr="00950B8E">
        <w:rPr>
          <w:sz w:val="22"/>
          <w:szCs w:val="22"/>
        </w:rPr>
        <w:t>DMO's a</w:t>
      </w:r>
      <w:r w:rsidRPr="00950B8E">
        <w:rPr>
          <w:rFonts w:cs="Arial"/>
          <w:bCs/>
          <w:sz w:val="22"/>
          <w:szCs w:val="22"/>
        </w:rPr>
        <w:t xml:space="preserve">pproved </w:t>
      </w:r>
      <w:r w:rsidR="00950B8E" w:rsidRPr="00950B8E">
        <w:rPr>
          <w:rFonts w:cs="Arial"/>
          <w:bCs/>
          <w:sz w:val="22"/>
          <w:szCs w:val="22"/>
        </w:rPr>
        <w:t>media project</w:t>
      </w:r>
      <w:r w:rsidR="00E928BA">
        <w:rPr>
          <w:rFonts w:cs="Arial"/>
          <w:bCs/>
          <w:sz w:val="22"/>
          <w:szCs w:val="22"/>
        </w:rPr>
        <w:t>.</w:t>
      </w:r>
      <w:r w:rsidR="0067075C" w:rsidRPr="00950B8E">
        <w:rPr>
          <w:rFonts w:cs="Arial"/>
          <w:bCs/>
          <w:sz w:val="22"/>
          <w:szCs w:val="22"/>
        </w:rPr>
        <w:t xml:space="preserve"> </w:t>
      </w:r>
      <w:r w:rsidRPr="00950B8E">
        <w:rPr>
          <w:rFonts w:cs="Arial"/>
          <w:bCs/>
          <w:sz w:val="22"/>
          <w:szCs w:val="22"/>
        </w:rPr>
        <w:t>The media-buying leverage provided</w:t>
      </w:r>
      <w:r w:rsidR="009C44A4">
        <w:rPr>
          <w:rFonts w:cs="Arial"/>
          <w:bCs/>
          <w:sz w:val="22"/>
          <w:szCs w:val="22"/>
        </w:rPr>
        <w:t xml:space="preserve"> through media placement by MDT’s</w:t>
      </w:r>
      <w:r w:rsidRPr="00950B8E">
        <w:rPr>
          <w:rFonts w:cs="Arial"/>
          <w:bCs/>
          <w:sz w:val="22"/>
          <w:szCs w:val="22"/>
        </w:rPr>
        <w:t xml:space="preserve"> ad agency,</w:t>
      </w:r>
      <w:r w:rsidR="009C44A4">
        <w:rPr>
          <w:rFonts w:cs="Arial"/>
          <w:bCs/>
          <w:sz w:val="22"/>
          <w:szCs w:val="22"/>
        </w:rPr>
        <w:t xml:space="preserve"> H&amp;L Partners, </w:t>
      </w:r>
      <w:r w:rsidRPr="00950B8E">
        <w:rPr>
          <w:rFonts w:cs="Arial"/>
          <w:bCs/>
          <w:sz w:val="22"/>
          <w:szCs w:val="22"/>
        </w:rPr>
        <w:t xml:space="preserve">coupled with the match of state funds, provides </w:t>
      </w:r>
      <w:r w:rsidR="00DA57F3" w:rsidRPr="00950B8E">
        <w:rPr>
          <w:rFonts w:cs="Arial"/>
          <w:bCs/>
          <w:sz w:val="22"/>
          <w:szCs w:val="22"/>
        </w:rPr>
        <w:t xml:space="preserve">a </w:t>
      </w:r>
      <w:r w:rsidRPr="00950B8E">
        <w:rPr>
          <w:rFonts w:cs="Arial"/>
          <w:bCs/>
          <w:sz w:val="22"/>
          <w:szCs w:val="22"/>
        </w:rPr>
        <w:t>meaningful financial incentive to participants</w:t>
      </w:r>
      <w:r w:rsidRPr="00AD5277">
        <w:rPr>
          <w:rFonts w:cs="Arial"/>
          <w:bCs/>
          <w:sz w:val="22"/>
          <w:szCs w:val="22"/>
        </w:rPr>
        <w:t xml:space="preserve"> and a significant economic benefit to the State of Missouri. </w:t>
      </w:r>
    </w:p>
    <w:p w:rsidR="0002350C" w:rsidRPr="00ED3A25" w:rsidRDefault="0002350C" w:rsidP="00AD5277">
      <w:pPr>
        <w:spacing w:after="0" w:line="240" w:lineRule="auto"/>
        <w:rPr>
          <w:rFonts w:ascii="Arial" w:hAnsi="Arial" w:cs="Arial"/>
          <w:b/>
          <w:sz w:val="16"/>
          <w:szCs w:val="16"/>
        </w:rPr>
      </w:pPr>
    </w:p>
    <w:p w:rsidR="004E4CDF" w:rsidRPr="00AD5277" w:rsidRDefault="00085177" w:rsidP="00AD5277">
      <w:pPr>
        <w:spacing w:after="0" w:line="240" w:lineRule="auto"/>
        <w:rPr>
          <w:rFonts w:ascii="Arial" w:hAnsi="Arial" w:cs="Arial"/>
          <w:b/>
          <w:sz w:val="24"/>
          <w:szCs w:val="24"/>
        </w:rPr>
      </w:pPr>
      <w:r w:rsidRPr="00AD5277">
        <w:rPr>
          <w:rFonts w:ascii="Arial" w:hAnsi="Arial" w:cs="Arial"/>
          <w:b/>
          <w:sz w:val="24"/>
          <w:szCs w:val="24"/>
        </w:rPr>
        <w:t>Administration</w:t>
      </w:r>
    </w:p>
    <w:p w:rsidR="005E2CD1" w:rsidRDefault="005E2CD1" w:rsidP="00AD5277">
      <w:pPr>
        <w:pStyle w:val="BodyText"/>
        <w:spacing w:line="240" w:lineRule="auto"/>
        <w:rPr>
          <w:rFonts w:cs="Arial"/>
          <w:sz w:val="22"/>
          <w:szCs w:val="22"/>
        </w:rPr>
      </w:pPr>
      <w:r w:rsidRPr="00AD5277">
        <w:rPr>
          <w:rFonts w:cs="Arial"/>
          <w:sz w:val="22"/>
          <w:szCs w:val="22"/>
        </w:rPr>
        <w:lastRenderedPageBreak/>
        <w:t xml:space="preserve">The MDT administers the PMF on behalf of the Missouri Tourism Commission, which reserves the right to make all final decisions. </w:t>
      </w:r>
    </w:p>
    <w:p w:rsidR="00E328A0" w:rsidRPr="00ED3A25" w:rsidRDefault="00E328A0" w:rsidP="00AD5277">
      <w:pPr>
        <w:pStyle w:val="BodyText"/>
        <w:spacing w:line="240" w:lineRule="auto"/>
        <w:rPr>
          <w:rFonts w:cs="Arial"/>
          <w:sz w:val="16"/>
          <w:szCs w:val="16"/>
        </w:rPr>
      </w:pPr>
    </w:p>
    <w:p w:rsidR="007E038B" w:rsidRDefault="00AD5277" w:rsidP="00AD5277">
      <w:pPr>
        <w:pStyle w:val="BodyText"/>
        <w:spacing w:line="240" w:lineRule="auto"/>
        <w:rPr>
          <w:rFonts w:cs="Arial"/>
          <w:sz w:val="22"/>
          <w:szCs w:val="22"/>
        </w:rPr>
      </w:pPr>
      <w:r>
        <w:rPr>
          <w:rFonts w:cs="Arial"/>
          <w:b/>
          <w:sz w:val="22"/>
          <w:szCs w:val="22"/>
        </w:rPr>
        <w:tab/>
      </w:r>
      <w:r w:rsidR="007E038B" w:rsidRPr="00AD5277">
        <w:rPr>
          <w:rFonts w:cs="Arial"/>
          <w:b/>
          <w:sz w:val="22"/>
          <w:szCs w:val="22"/>
        </w:rPr>
        <w:t>Promote Missouri Fund Advisory Committee (PMFAC)</w:t>
      </w:r>
      <w:r w:rsidR="007E038B" w:rsidRPr="00AD5277">
        <w:rPr>
          <w:rFonts w:cs="Arial"/>
          <w:sz w:val="22"/>
          <w:szCs w:val="22"/>
        </w:rPr>
        <w:t xml:space="preserve"> - The advisory commi</w:t>
      </w:r>
      <w:r w:rsidR="005E2CD1" w:rsidRPr="00AD5277">
        <w:rPr>
          <w:rFonts w:cs="Arial"/>
          <w:sz w:val="22"/>
          <w:szCs w:val="22"/>
        </w:rPr>
        <w:t xml:space="preserve">ttee is </w:t>
      </w:r>
      <w:r w:rsidR="007E038B" w:rsidRPr="00AD5277">
        <w:rPr>
          <w:rFonts w:cs="Arial"/>
          <w:sz w:val="22"/>
          <w:szCs w:val="22"/>
        </w:rPr>
        <w:t xml:space="preserve">comprised of </w:t>
      </w:r>
      <w:r w:rsidR="00DB1C04">
        <w:rPr>
          <w:sz w:val="22"/>
          <w:szCs w:val="22"/>
        </w:rPr>
        <w:t>10</w:t>
      </w:r>
      <w:r w:rsidR="00AB7D82" w:rsidRPr="00AD5277">
        <w:rPr>
          <w:rFonts w:cs="Arial"/>
          <w:sz w:val="22"/>
          <w:szCs w:val="22"/>
        </w:rPr>
        <w:t xml:space="preserve"> </w:t>
      </w:r>
      <w:r w:rsidR="007E038B" w:rsidRPr="00AD5277">
        <w:rPr>
          <w:rFonts w:cs="Arial"/>
          <w:sz w:val="22"/>
          <w:szCs w:val="22"/>
        </w:rPr>
        <w:t>tourism</w:t>
      </w:r>
      <w:r w:rsidR="00A420D9">
        <w:rPr>
          <w:rFonts w:cs="Arial"/>
          <w:sz w:val="22"/>
          <w:szCs w:val="22"/>
        </w:rPr>
        <w:t xml:space="preserve"> industry</w:t>
      </w:r>
      <w:r w:rsidR="007E038B" w:rsidRPr="00AD5277">
        <w:rPr>
          <w:rFonts w:cs="Arial"/>
          <w:sz w:val="22"/>
          <w:szCs w:val="22"/>
        </w:rPr>
        <w:t xml:space="preserve"> professionals</w:t>
      </w:r>
      <w:r w:rsidR="00D13EAF">
        <w:rPr>
          <w:rFonts w:cs="Arial"/>
          <w:sz w:val="22"/>
          <w:szCs w:val="22"/>
        </w:rPr>
        <w:t xml:space="preserve"> </w:t>
      </w:r>
      <w:r w:rsidR="007E038B" w:rsidRPr="00AD5277">
        <w:rPr>
          <w:rFonts w:cs="Arial"/>
          <w:sz w:val="22"/>
          <w:szCs w:val="22"/>
        </w:rPr>
        <w:t>representing each o</w:t>
      </w:r>
      <w:r w:rsidR="005E2CD1" w:rsidRPr="00AD5277">
        <w:rPr>
          <w:rFonts w:cs="Arial"/>
          <w:sz w:val="22"/>
          <w:szCs w:val="22"/>
        </w:rPr>
        <w:t>f the five regions of the state</w:t>
      </w:r>
      <w:r w:rsidR="00A420D9">
        <w:rPr>
          <w:rFonts w:cs="Arial"/>
          <w:sz w:val="22"/>
          <w:szCs w:val="22"/>
        </w:rPr>
        <w:t>,</w:t>
      </w:r>
      <w:r w:rsidR="007E038B" w:rsidRPr="00AD5277">
        <w:rPr>
          <w:rFonts w:cs="Arial"/>
          <w:sz w:val="22"/>
          <w:szCs w:val="22"/>
        </w:rPr>
        <w:t xml:space="preserve"> </w:t>
      </w:r>
      <w:r w:rsidR="00B37C46">
        <w:rPr>
          <w:rFonts w:cs="Arial"/>
          <w:sz w:val="22"/>
          <w:szCs w:val="22"/>
        </w:rPr>
        <w:t>providing</w:t>
      </w:r>
      <w:r w:rsidR="007E038B" w:rsidRPr="00AD5277">
        <w:rPr>
          <w:rFonts w:cs="Arial"/>
          <w:sz w:val="22"/>
          <w:szCs w:val="22"/>
        </w:rPr>
        <w:t xml:space="preserve"> valuable </w:t>
      </w:r>
      <w:r w:rsidR="00A420D9">
        <w:rPr>
          <w:rFonts w:cs="Arial"/>
          <w:sz w:val="22"/>
          <w:szCs w:val="22"/>
        </w:rPr>
        <w:t>customer</w:t>
      </w:r>
      <w:r w:rsidR="00A420D9" w:rsidRPr="00AD5277">
        <w:rPr>
          <w:rFonts w:cs="Arial"/>
          <w:sz w:val="22"/>
          <w:szCs w:val="22"/>
        </w:rPr>
        <w:t xml:space="preserve"> </w:t>
      </w:r>
      <w:r w:rsidR="007E038B" w:rsidRPr="00AD5277">
        <w:rPr>
          <w:rFonts w:cs="Arial"/>
          <w:sz w:val="22"/>
          <w:szCs w:val="22"/>
        </w:rPr>
        <w:t xml:space="preserve">input </w:t>
      </w:r>
      <w:r w:rsidR="00AB7D82">
        <w:rPr>
          <w:rFonts w:cs="Arial"/>
          <w:sz w:val="22"/>
          <w:szCs w:val="22"/>
        </w:rPr>
        <w:t>about</w:t>
      </w:r>
      <w:r w:rsidR="00AB7D82" w:rsidRPr="00AD5277">
        <w:rPr>
          <w:rFonts w:cs="Arial"/>
          <w:sz w:val="22"/>
          <w:szCs w:val="22"/>
        </w:rPr>
        <w:t xml:space="preserve"> </w:t>
      </w:r>
      <w:r w:rsidR="007E038B" w:rsidRPr="00AD5277">
        <w:rPr>
          <w:rFonts w:cs="Arial"/>
          <w:sz w:val="22"/>
          <w:szCs w:val="22"/>
        </w:rPr>
        <w:t xml:space="preserve">program </w:t>
      </w:r>
      <w:r w:rsidR="00A420D9">
        <w:rPr>
          <w:rFonts w:cs="Arial"/>
          <w:sz w:val="22"/>
          <w:szCs w:val="22"/>
        </w:rPr>
        <w:t>design</w:t>
      </w:r>
      <w:r w:rsidR="00A420D9" w:rsidRPr="00AD5277">
        <w:rPr>
          <w:rFonts w:cs="Arial"/>
          <w:sz w:val="22"/>
          <w:szCs w:val="22"/>
        </w:rPr>
        <w:t xml:space="preserve"> </w:t>
      </w:r>
      <w:r w:rsidR="005E2CD1" w:rsidRPr="00AD5277">
        <w:rPr>
          <w:rFonts w:cs="Arial"/>
          <w:sz w:val="22"/>
          <w:szCs w:val="22"/>
        </w:rPr>
        <w:t>and administration</w:t>
      </w:r>
      <w:r w:rsidR="00A420D9">
        <w:rPr>
          <w:rFonts w:cs="Arial"/>
          <w:sz w:val="22"/>
          <w:szCs w:val="22"/>
        </w:rPr>
        <w:t xml:space="preserve"> of the program</w:t>
      </w:r>
      <w:r w:rsidR="005E2CD1" w:rsidRPr="00AD5277">
        <w:rPr>
          <w:rFonts w:cs="Arial"/>
          <w:sz w:val="22"/>
          <w:szCs w:val="22"/>
        </w:rPr>
        <w:t xml:space="preserve">. </w:t>
      </w:r>
    </w:p>
    <w:p w:rsidR="00E328A0" w:rsidRPr="00ED3A25" w:rsidRDefault="00E328A0" w:rsidP="00AD5277">
      <w:pPr>
        <w:pStyle w:val="BodyText"/>
        <w:spacing w:line="240" w:lineRule="auto"/>
        <w:rPr>
          <w:rFonts w:cs="Arial"/>
          <w:sz w:val="16"/>
          <w:szCs w:val="16"/>
        </w:rPr>
      </w:pPr>
    </w:p>
    <w:p w:rsidR="009C44A4" w:rsidRDefault="00AD5277" w:rsidP="009C44A4">
      <w:pPr>
        <w:spacing w:after="0" w:line="240" w:lineRule="auto"/>
        <w:rPr>
          <w:rFonts w:ascii="Arial" w:hAnsi="Arial" w:cs="Arial"/>
        </w:rPr>
      </w:pPr>
      <w:r>
        <w:rPr>
          <w:rFonts w:ascii="Arial" w:hAnsi="Arial" w:cs="Arial"/>
          <w:b/>
        </w:rPr>
        <w:tab/>
      </w:r>
      <w:r w:rsidR="007E038B" w:rsidRPr="00AD5277">
        <w:rPr>
          <w:rFonts w:ascii="Arial" w:hAnsi="Arial" w:cs="Arial"/>
          <w:b/>
        </w:rPr>
        <w:t>Appeal process</w:t>
      </w:r>
      <w:r w:rsidR="005E2CD1" w:rsidRPr="00AD5277">
        <w:rPr>
          <w:rFonts w:ascii="Arial" w:hAnsi="Arial" w:cs="Arial"/>
        </w:rPr>
        <w:t xml:space="preserve"> – The participating certified DMO </w:t>
      </w:r>
      <w:r w:rsidR="007E038B" w:rsidRPr="00AD5277">
        <w:rPr>
          <w:rFonts w:ascii="Arial" w:hAnsi="Arial" w:cs="Arial"/>
        </w:rPr>
        <w:t xml:space="preserve">may file an appeal to the PMFAC regarding issues of eligibility </w:t>
      </w:r>
      <w:r w:rsidR="00FD6342" w:rsidRPr="00AD5277">
        <w:rPr>
          <w:rFonts w:ascii="Arial" w:hAnsi="Arial" w:cs="Arial"/>
        </w:rPr>
        <w:t>and</w:t>
      </w:r>
      <w:r w:rsidR="007E038B" w:rsidRPr="00AD5277">
        <w:rPr>
          <w:rFonts w:ascii="Arial" w:hAnsi="Arial" w:cs="Arial"/>
        </w:rPr>
        <w:t xml:space="preserve"> compliance. </w:t>
      </w:r>
      <w:r w:rsidR="005E2CD1" w:rsidRPr="00AD5277">
        <w:rPr>
          <w:rFonts w:ascii="Arial" w:hAnsi="Arial" w:cs="Arial"/>
        </w:rPr>
        <w:t xml:space="preserve">Appeals must be directed to the MDT </w:t>
      </w:r>
      <w:r w:rsidR="00DA57F3">
        <w:rPr>
          <w:rFonts w:ascii="Arial" w:hAnsi="Arial" w:cs="Arial"/>
        </w:rPr>
        <w:t>Promote Missouri Fund</w:t>
      </w:r>
      <w:r w:rsidR="007E038B" w:rsidRPr="00AD5277">
        <w:rPr>
          <w:rFonts w:ascii="Arial" w:hAnsi="Arial" w:cs="Arial"/>
        </w:rPr>
        <w:t xml:space="preserve"> in writing and must contain an explanation of the basis for the appeal. With recommendations from the </w:t>
      </w:r>
      <w:r w:rsidR="005E2CD1" w:rsidRPr="00AD5277">
        <w:rPr>
          <w:rFonts w:ascii="Arial" w:hAnsi="Arial" w:cs="Arial"/>
        </w:rPr>
        <w:t>PMFAC</w:t>
      </w:r>
      <w:r w:rsidR="007E038B" w:rsidRPr="00AD5277">
        <w:rPr>
          <w:rFonts w:ascii="Arial" w:hAnsi="Arial" w:cs="Arial"/>
        </w:rPr>
        <w:t xml:space="preserve">, </w:t>
      </w:r>
      <w:r w:rsidR="00DA57F3">
        <w:rPr>
          <w:rFonts w:ascii="Arial" w:hAnsi="Arial" w:cs="Arial"/>
        </w:rPr>
        <w:t>MDT</w:t>
      </w:r>
      <w:r w:rsidR="007E038B" w:rsidRPr="00AD5277">
        <w:rPr>
          <w:rFonts w:ascii="Arial" w:hAnsi="Arial" w:cs="Arial"/>
        </w:rPr>
        <w:t xml:space="preserve"> will review the appeal a</w:t>
      </w:r>
      <w:r w:rsidR="005E2CD1" w:rsidRPr="00AD5277">
        <w:rPr>
          <w:rFonts w:ascii="Arial" w:hAnsi="Arial" w:cs="Arial"/>
        </w:rPr>
        <w:t>nd provide a ruling. G</w:t>
      </w:r>
      <w:r w:rsidR="007E038B" w:rsidRPr="00AD5277">
        <w:rPr>
          <w:rFonts w:ascii="Arial" w:hAnsi="Arial" w:cs="Arial"/>
        </w:rPr>
        <w:t>uideline requirements may n</w:t>
      </w:r>
      <w:r w:rsidR="005E2CD1" w:rsidRPr="00AD5277">
        <w:rPr>
          <w:rFonts w:ascii="Arial" w:hAnsi="Arial" w:cs="Arial"/>
        </w:rPr>
        <w:t xml:space="preserve">ot be appealed. </w:t>
      </w:r>
      <w:r w:rsidR="009C44A4">
        <w:rPr>
          <w:rFonts w:ascii="Arial" w:hAnsi="Arial" w:cs="Arial"/>
        </w:rPr>
        <w:t xml:space="preserve">   </w:t>
      </w:r>
    </w:p>
    <w:p w:rsidR="009C44A4" w:rsidRDefault="009C44A4" w:rsidP="009C44A4">
      <w:pPr>
        <w:spacing w:after="0" w:line="240" w:lineRule="auto"/>
        <w:rPr>
          <w:rFonts w:ascii="Arial" w:hAnsi="Arial" w:cs="Arial"/>
        </w:rPr>
      </w:pPr>
      <w:r>
        <w:rPr>
          <w:rFonts w:ascii="Arial" w:hAnsi="Arial" w:cs="Arial"/>
        </w:rPr>
        <w:t xml:space="preserve">                                                                                                         </w:t>
      </w:r>
    </w:p>
    <w:p w:rsidR="009C44A4" w:rsidRDefault="006C0D52" w:rsidP="009C44A4">
      <w:pPr>
        <w:pStyle w:val="BodyText"/>
        <w:spacing w:line="240" w:lineRule="auto"/>
        <w:rPr>
          <w:rFonts w:cs="Arial"/>
          <w:sz w:val="22"/>
          <w:szCs w:val="22"/>
        </w:rPr>
      </w:pPr>
      <w:r>
        <w:rPr>
          <w:rFonts w:cs="Arial"/>
          <w:b/>
          <w:sz w:val="22"/>
          <w:szCs w:val="22"/>
        </w:rPr>
        <w:tab/>
      </w:r>
      <w:r w:rsidR="009C44A4">
        <w:rPr>
          <w:rFonts w:cs="Arial"/>
          <w:b/>
          <w:sz w:val="22"/>
          <w:szCs w:val="22"/>
        </w:rPr>
        <w:t>Address</w:t>
      </w:r>
      <w:r w:rsidR="009C44A4" w:rsidRPr="00AD5277">
        <w:rPr>
          <w:rFonts w:cs="Arial"/>
          <w:b/>
          <w:sz w:val="22"/>
          <w:szCs w:val="22"/>
        </w:rPr>
        <w:t>:</w:t>
      </w:r>
      <w:r w:rsidR="009C44A4">
        <w:rPr>
          <w:rFonts w:cs="Arial"/>
          <w:sz w:val="22"/>
          <w:szCs w:val="22"/>
        </w:rPr>
        <w:t xml:space="preserve"> </w:t>
      </w:r>
      <w:r w:rsidR="009C44A4">
        <w:rPr>
          <w:rFonts w:cs="Arial"/>
          <w:sz w:val="22"/>
          <w:szCs w:val="22"/>
        </w:rPr>
        <w:tab/>
      </w:r>
      <w:r w:rsidR="009C44A4" w:rsidRPr="00AD5277">
        <w:rPr>
          <w:rFonts w:cs="Arial"/>
          <w:sz w:val="22"/>
          <w:szCs w:val="22"/>
        </w:rPr>
        <w:t>Promote Missouri Fund</w:t>
      </w:r>
      <w:r w:rsidR="009C44A4">
        <w:rPr>
          <w:rFonts w:cs="Arial"/>
          <w:sz w:val="22"/>
          <w:szCs w:val="22"/>
        </w:rPr>
        <w:tab/>
        <w:t xml:space="preserve">   </w:t>
      </w:r>
    </w:p>
    <w:p w:rsidR="009C44A4" w:rsidRDefault="009C44A4" w:rsidP="009C44A4">
      <w:pPr>
        <w:pStyle w:val="BodyText"/>
        <w:spacing w:line="240" w:lineRule="auto"/>
        <w:rPr>
          <w:rFonts w:cs="Arial"/>
          <w:sz w:val="22"/>
          <w:szCs w:val="22"/>
        </w:rPr>
      </w:pPr>
      <w:r>
        <w:rPr>
          <w:rFonts w:cs="Arial"/>
          <w:sz w:val="22"/>
          <w:szCs w:val="22"/>
        </w:rPr>
        <w:tab/>
      </w:r>
      <w:r>
        <w:rPr>
          <w:rFonts w:cs="Arial"/>
          <w:sz w:val="22"/>
          <w:szCs w:val="22"/>
        </w:rPr>
        <w:tab/>
      </w:r>
      <w:r w:rsidR="006C0D52">
        <w:rPr>
          <w:rFonts w:cs="Arial"/>
          <w:sz w:val="22"/>
          <w:szCs w:val="22"/>
        </w:rPr>
        <w:tab/>
      </w:r>
      <w:r w:rsidRPr="00AD5277">
        <w:rPr>
          <w:rFonts w:cs="Arial"/>
          <w:sz w:val="22"/>
          <w:szCs w:val="22"/>
        </w:rPr>
        <w:t>Missouri D</w:t>
      </w:r>
      <w:r>
        <w:rPr>
          <w:rFonts w:cs="Arial"/>
          <w:sz w:val="22"/>
          <w:szCs w:val="22"/>
        </w:rPr>
        <w:t xml:space="preserve">ivision of Tourism </w:t>
      </w:r>
    </w:p>
    <w:p w:rsidR="009C44A4" w:rsidRPr="00AD5277" w:rsidRDefault="009C44A4" w:rsidP="009C44A4">
      <w:pPr>
        <w:pStyle w:val="BodyText"/>
        <w:spacing w:line="240" w:lineRule="auto"/>
        <w:rPr>
          <w:rFonts w:cs="Arial"/>
          <w:sz w:val="22"/>
          <w:szCs w:val="22"/>
        </w:rPr>
      </w:pPr>
      <w:r>
        <w:rPr>
          <w:rFonts w:cs="Arial"/>
          <w:sz w:val="22"/>
          <w:szCs w:val="22"/>
        </w:rPr>
        <w:tab/>
      </w:r>
      <w:r>
        <w:rPr>
          <w:rFonts w:cs="Arial"/>
          <w:sz w:val="22"/>
          <w:szCs w:val="22"/>
        </w:rPr>
        <w:tab/>
      </w:r>
      <w:r w:rsidR="006C0D52">
        <w:rPr>
          <w:rFonts w:cs="Arial"/>
          <w:sz w:val="22"/>
          <w:szCs w:val="22"/>
        </w:rPr>
        <w:tab/>
      </w:r>
      <w:r>
        <w:rPr>
          <w:rFonts w:cs="Arial"/>
          <w:sz w:val="22"/>
          <w:szCs w:val="22"/>
        </w:rPr>
        <w:t>301 W. High St</w:t>
      </w:r>
      <w:r w:rsidR="00DB1C04">
        <w:rPr>
          <w:rFonts w:cs="Arial"/>
          <w:sz w:val="22"/>
          <w:szCs w:val="22"/>
        </w:rPr>
        <w:t>.</w:t>
      </w:r>
      <w:r>
        <w:rPr>
          <w:rFonts w:cs="Arial"/>
          <w:sz w:val="22"/>
          <w:szCs w:val="22"/>
        </w:rPr>
        <w:t xml:space="preserve">, Room 290     </w:t>
      </w:r>
      <w:r>
        <w:rPr>
          <w:rFonts w:cs="Arial"/>
          <w:sz w:val="22"/>
          <w:szCs w:val="22"/>
        </w:rPr>
        <w:tab/>
      </w:r>
      <w:r>
        <w:rPr>
          <w:rFonts w:cs="Arial"/>
          <w:sz w:val="22"/>
          <w:szCs w:val="22"/>
        </w:rPr>
        <w:tab/>
      </w:r>
      <w:r>
        <w:rPr>
          <w:rFonts w:cs="Arial"/>
          <w:sz w:val="22"/>
          <w:szCs w:val="22"/>
        </w:rPr>
        <w:tab/>
      </w:r>
      <w:r>
        <w:rPr>
          <w:rFonts w:cs="Arial"/>
          <w:sz w:val="22"/>
          <w:szCs w:val="22"/>
        </w:rPr>
        <w:tab/>
      </w:r>
    </w:p>
    <w:p w:rsidR="009C44A4" w:rsidRDefault="009C44A4" w:rsidP="009C44A4">
      <w:pPr>
        <w:pStyle w:val="BodyText"/>
        <w:spacing w:line="240" w:lineRule="auto"/>
        <w:rPr>
          <w:rFonts w:cs="Arial"/>
          <w:sz w:val="22"/>
          <w:szCs w:val="22"/>
        </w:rPr>
      </w:pPr>
      <w:r>
        <w:rPr>
          <w:rFonts w:cs="Arial"/>
          <w:sz w:val="22"/>
          <w:szCs w:val="22"/>
        </w:rPr>
        <w:tab/>
      </w:r>
      <w:r>
        <w:rPr>
          <w:rFonts w:cs="Arial"/>
          <w:sz w:val="22"/>
          <w:szCs w:val="22"/>
        </w:rPr>
        <w:tab/>
      </w:r>
      <w:r w:rsidR="006C0D52">
        <w:rPr>
          <w:rFonts w:cs="Arial"/>
          <w:sz w:val="22"/>
          <w:szCs w:val="22"/>
        </w:rPr>
        <w:tab/>
      </w:r>
      <w:r>
        <w:rPr>
          <w:rFonts w:cs="Arial"/>
          <w:sz w:val="22"/>
          <w:szCs w:val="22"/>
        </w:rPr>
        <w:t>J</w:t>
      </w:r>
      <w:r w:rsidRPr="00AD5277">
        <w:rPr>
          <w:rFonts w:cs="Arial"/>
          <w:sz w:val="22"/>
          <w:szCs w:val="22"/>
        </w:rPr>
        <w:t>efferson City, MO  6510</w:t>
      </w:r>
      <w:r w:rsidR="00DB1C04">
        <w:rPr>
          <w:rFonts w:cs="Arial"/>
          <w:sz w:val="22"/>
          <w:szCs w:val="22"/>
        </w:rPr>
        <w:t>1</w:t>
      </w:r>
      <w:r>
        <w:rPr>
          <w:rFonts w:cs="Arial"/>
          <w:sz w:val="22"/>
          <w:szCs w:val="22"/>
        </w:rPr>
        <w:t xml:space="preserve">   </w:t>
      </w:r>
    </w:p>
    <w:p w:rsidR="009C44A4" w:rsidRPr="00AD5277" w:rsidRDefault="009C44A4" w:rsidP="009C44A4">
      <w:pPr>
        <w:pStyle w:val="BodyText"/>
        <w:spacing w:line="240" w:lineRule="auto"/>
        <w:rPr>
          <w:rFonts w:cs="Arial"/>
          <w:sz w:val="22"/>
          <w:szCs w:val="22"/>
        </w:rPr>
      </w:pPr>
      <w:r>
        <w:rPr>
          <w:rFonts w:cs="Arial"/>
          <w:sz w:val="22"/>
          <w:szCs w:val="22"/>
        </w:rPr>
        <w:t xml:space="preserve">         </w:t>
      </w:r>
      <w:r>
        <w:rPr>
          <w:rFonts w:cs="Arial"/>
          <w:sz w:val="22"/>
          <w:szCs w:val="22"/>
        </w:rPr>
        <w:tab/>
      </w:r>
      <w:r>
        <w:rPr>
          <w:rFonts w:cs="Arial"/>
          <w:sz w:val="22"/>
          <w:szCs w:val="22"/>
        </w:rPr>
        <w:tab/>
      </w:r>
    </w:p>
    <w:p w:rsidR="009C44A4" w:rsidRDefault="006C0D52" w:rsidP="009C44A4">
      <w:pPr>
        <w:pStyle w:val="BodyText"/>
        <w:spacing w:line="240" w:lineRule="auto"/>
        <w:rPr>
          <w:rFonts w:cs="Arial"/>
          <w:b/>
          <w:sz w:val="22"/>
          <w:szCs w:val="22"/>
        </w:rPr>
      </w:pPr>
      <w:r>
        <w:rPr>
          <w:rFonts w:cs="Arial"/>
          <w:b/>
          <w:sz w:val="22"/>
          <w:szCs w:val="22"/>
        </w:rPr>
        <w:tab/>
      </w:r>
      <w:r w:rsidR="009C44A4">
        <w:rPr>
          <w:rFonts w:cs="Arial"/>
          <w:b/>
          <w:sz w:val="22"/>
          <w:szCs w:val="22"/>
        </w:rPr>
        <w:t>P</w:t>
      </w:r>
      <w:r w:rsidR="009C44A4" w:rsidRPr="00AD5277">
        <w:rPr>
          <w:rFonts w:cs="Arial"/>
          <w:b/>
          <w:sz w:val="22"/>
          <w:szCs w:val="22"/>
        </w:rPr>
        <w:t>hone number:</w:t>
      </w:r>
      <w:r w:rsidR="009C44A4" w:rsidRPr="00AD5277">
        <w:rPr>
          <w:rFonts w:cs="Arial"/>
          <w:sz w:val="22"/>
          <w:szCs w:val="22"/>
        </w:rPr>
        <w:t xml:space="preserve"> 573-</w:t>
      </w:r>
      <w:r w:rsidR="00516FDD">
        <w:t>751-4133</w:t>
      </w:r>
      <w:r w:rsidR="009C44A4">
        <w:rPr>
          <w:rFonts w:cs="Arial"/>
          <w:b/>
          <w:sz w:val="22"/>
          <w:szCs w:val="22"/>
        </w:rPr>
        <w:tab/>
      </w:r>
      <w:r w:rsidR="009C44A4">
        <w:rPr>
          <w:rFonts w:cs="Arial"/>
          <w:b/>
          <w:sz w:val="22"/>
          <w:szCs w:val="22"/>
        </w:rPr>
        <w:tab/>
      </w:r>
      <w:r w:rsidR="009C44A4">
        <w:rPr>
          <w:rFonts w:cs="Arial"/>
          <w:b/>
          <w:sz w:val="22"/>
          <w:szCs w:val="22"/>
        </w:rPr>
        <w:tab/>
      </w:r>
    </w:p>
    <w:p w:rsidR="009C44A4" w:rsidRDefault="006C0D52" w:rsidP="009C44A4">
      <w:pPr>
        <w:pStyle w:val="BodyText"/>
        <w:spacing w:line="240" w:lineRule="auto"/>
        <w:rPr>
          <w:rFonts w:cs="Arial"/>
          <w:b/>
          <w:sz w:val="22"/>
          <w:szCs w:val="22"/>
        </w:rPr>
      </w:pPr>
      <w:r>
        <w:rPr>
          <w:rFonts w:cs="Arial"/>
          <w:b/>
          <w:sz w:val="22"/>
          <w:szCs w:val="22"/>
        </w:rPr>
        <w:tab/>
      </w:r>
      <w:r w:rsidR="009C44A4" w:rsidRPr="00AD5277">
        <w:rPr>
          <w:rFonts w:cs="Arial"/>
          <w:b/>
          <w:sz w:val="22"/>
          <w:szCs w:val="22"/>
        </w:rPr>
        <w:t xml:space="preserve">Email: </w:t>
      </w:r>
      <w:r w:rsidR="00760E62">
        <w:rPr>
          <w:rFonts w:cs="Arial"/>
          <w:sz w:val="22"/>
          <w:szCs w:val="22"/>
        </w:rPr>
        <w:t>PromoteM</w:t>
      </w:r>
      <w:r w:rsidR="00760E62">
        <w:t>O</w:t>
      </w:r>
      <w:r w:rsidR="009C44A4" w:rsidRPr="00AD5277">
        <w:rPr>
          <w:rFonts w:cs="Arial"/>
          <w:sz w:val="22"/>
          <w:szCs w:val="22"/>
        </w:rPr>
        <w:t>Fund@ded.mo.gov</w:t>
      </w:r>
      <w:r w:rsidR="009C44A4" w:rsidRPr="00AD5277">
        <w:rPr>
          <w:rFonts w:cs="Arial"/>
          <w:b/>
          <w:sz w:val="22"/>
          <w:szCs w:val="22"/>
        </w:rPr>
        <w:t xml:space="preserve"> </w:t>
      </w:r>
      <w:r w:rsidR="009C44A4">
        <w:rPr>
          <w:rFonts w:cs="Arial"/>
          <w:b/>
          <w:sz w:val="22"/>
          <w:szCs w:val="22"/>
        </w:rPr>
        <w:tab/>
      </w:r>
      <w:r w:rsidR="009C44A4">
        <w:rPr>
          <w:rFonts w:cs="Arial"/>
          <w:b/>
          <w:sz w:val="22"/>
          <w:szCs w:val="22"/>
        </w:rPr>
        <w:tab/>
      </w:r>
      <w:r w:rsidR="009C44A4">
        <w:rPr>
          <w:rFonts w:cs="Arial"/>
          <w:b/>
          <w:sz w:val="22"/>
          <w:szCs w:val="22"/>
        </w:rPr>
        <w:tab/>
      </w:r>
      <w:r w:rsidR="009C44A4">
        <w:rPr>
          <w:rFonts w:cs="Arial"/>
          <w:b/>
          <w:sz w:val="22"/>
          <w:szCs w:val="22"/>
        </w:rPr>
        <w:tab/>
      </w:r>
      <w:r w:rsidR="009C44A4">
        <w:rPr>
          <w:rFonts w:cs="Arial"/>
          <w:b/>
          <w:sz w:val="22"/>
          <w:szCs w:val="22"/>
        </w:rPr>
        <w:tab/>
      </w:r>
      <w:r w:rsidR="009C44A4">
        <w:rPr>
          <w:rFonts w:cs="Arial"/>
          <w:b/>
          <w:sz w:val="22"/>
          <w:szCs w:val="22"/>
        </w:rPr>
        <w:tab/>
      </w:r>
    </w:p>
    <w:p w:rsidR="00A00914" w:rsidRPr="009C44A4" w:rsidRDefault="006C0D52" w:rsidP="009C44A4">
      <w:pPr>
        <w:pStyle w:val="BodyText"/>
        <w:spacing w:line="240" w:lineRule="auto"/>
      </w:pPr>
      <w:r>
        <w:rPr>
          <w:rFonts w:cs="Arial"/>
          <w:b/>
          <w:sz w:val="22"/>
          <w:szCs w:val="22"/>
        </w:rPr>
        <w:tab/>
      </w:r>
      <w:r w:rsidR="009C44A4" w:rsidRPr="00AD5277">
        <w:rPr>
          <w:rFonts w:cs="Arial"/>
          <w:b/>
          <w:sz w:val="22"/>
          <w:szCs w:val="22"/>
        </w:rPr>
        <w:t>Website:</w:t>
      </w:r>
      <w:r w:rsidR="009C44A4" w:rsidRPr="00AD5277">
        <w:rPr>
          <w:rFonts w:cs="Arial"/>
          <w:i/>
          <w:sz w:val="22"/>
          <w:szCs w:val="22"/>
        </w:rPr>
        <w:t xml:space="preserve"> </w:t>
      </w:r>
      <w:hyperlink r:id="rId11" w:history="1">
        <w:r w:rsidR="009C44A4" w:rsidRPr="00AD5277">
          <w:rPr>
            <w:rStyle w:val="Hyperlink"/>
            <w:rFonts w:cs="Arial"/>
            <w:sz w:val="22"/>
            <w:szCs w:val="22"/>
          </w:rPr>
          <w:t>Industry.VisitMO.com</w:t>
        </w:r>
      </w:hyperlink>
    </w:p>
    <w:p w:rsidR="00DB1C04" w:rsidRDefault="00DB1C04" w:rsidP="00AD5277">
      <w:pPr>
        <w:pStyle w:val="body"/>
        <w:widowControl w:val="0"/>
        <w:tabs>
          <w:tab w:val="clear" w:pos="300"/>
          <w:tab w:val="clear" w:pos="600"/>
        </w:tabs>
        <w:spacing w:after="0" w:line="240" w:lineRule="auto"/>
        <w:rPr>
          <w:rFonts w:cs="Arial"/>
          <w:b/>
          <w:sz w:val="24"/>
          <w:szCs w:val="24"/>
        </w:rPr>
      </w:pPr>
    </w:p>
    <w:p w:rsidR="00B351EF" w:rsidRPr="00AD5277" w:rsidRDefault="00B351EF" w:rsidP="00AD5277">
      <w:pPr>
        <w:pStyle w:val="body"/>
        <w:widowControl w:val="0"/>
        <w:tabs>
          <w:tab w:val="clear" w:pos="300"/>
          <w:tab w:val="clear" w:pos="600"/>
        </w:tabs>
        <w:spacing w:after="0" w:line="240" w:lineRule="auto"/>
        <w:rPr>
          <w:rFonts w:cs="Arial"/>
          <w:sz w:val="24"/>
          <w:szCs w:val="24"/>
        </w:rPr>
      </w:pPr>
      <w:r w:rsidRPr="00AD5277">
        <w:rPr>
          <w:rFonts w:cs="Arial"/>
          <w:b/>
          <w:sz w:val="24"/>
          <w:szCs w:val="24"/>
        </w:rPr>
        <w:t xml:space="preserve">Disclosures </w:t>
      </w:r>
    </w:p>
    <w:p w:rsidR="00B351EF" w:rsidRPr="00AD5277" w:rsidRDefault="00B351EF" w:rsidP="00E328A0">
      <w:pPr>
        <w:pStyle w:val="body"/>
        <w:widowControl w:val="0"/>
        <w:numPr>
          <w:ilvl w:val="0"/>
          <w:numId w:val="10"/>
        </w:numPr>
        <w:tabs>
          <w:tab w:val="clear" w:pos="300"/>
          <w:tab w:val="clear" w:pos="600"/>
        </w:tabs>
        <w:spacing w:after="0" w:line="240" w:lineRule="auto"/>
        <w:ind w:left="900" w:hanging="180"/>
        <w:rPr>
          <w:rFonts w:cs="Arial"/>
          <w:snapToGrid/>
          <w:szCs w:val="22"/>
        </w:rPr>
      </w:pPr>
      <w:r w:rsidRPr="00AD5277">
        <w:rPr>
          <w:rFonts w:cs="Arial"/>
          <w:snapToGrid/>
          <w:szCs w:val="22"/>
        </w:rPr>
        <w:t xml:space="preserve">The State of Missouri reserves the right to review/audit the </w:t>
      </w:r>
      <w:r w:rsidR="00E928BA">
        <w:rPr>
          <w:rFonts w:cs="Arial"/>
          <w:snapToGrid/>
          <w:szCs w:val="22"/>
        </w:rPr>
        <w:t>PMF</w:t>
      </w:r>
      <w:r w:rsidRPr="00AD5277">
        <w:rPr>
          <w:rFonts w:cs="Arial"/>
          <w:snapToGrid/>
          <w:szCs w:val="22"/>
        </w:rPr>
        <w:t xml:space="preserve"> participant’s contract records for a period of five years after the close of the contract period.</w:t>
      </w:r>
    </w:p>
    <w:p w:rsidR="00B351EF" w:rsidRPr="00AD5277" w:rsidRDefault="00B351EF" w:rsidP="00E328A0">
      <w:pPr>
        <w:widowControl w:val="0"/>
        <w:numPr>
          <w:ilvl w:val="0"/>
          <w:numId w:val="9"/>
        </w:numPr>
        <w:spacing w:after="0" w:line="240" w:lineRule="auto"/>
        <w:ind w:left="900" w:hanging="180"/>
        <w:rPr>
          <w:rFonts w:ascii="Arial" w:hAnsi="Arial" w:cs="Arial"/>
        </w:rPr>
      </w:pPr>
      <w:r w:rsidRPr="00AD5277">
        <w:rPr>
          <w:rFonts w:ascii="Arial" w:hAnsi="Arial" w:cs="Arial"/>
        </w:rPr>
        <w:t>MDT may terminate any contract upon discovery of a violation of any terms and/or requirements of the contract committed by the participant.</w:t>
      </w:r>
    </w:p>
    <w:p w:rsidR="00B351EF" w:rsidRPr="00AD5277" w:rsidRDefault="00B351EF" w:rsidP="00E328A0">
      <w:pPr>
        <w:widowControl w:val="0"/>
        <w:numPr>
          <w:ilvl w:val="0"/>
          <w:numId w:val="9"/>
        </w:numPr>
        <w:spacing w:after="0" w:line="240" w:lineRule="auto"/>
        <w:ind w:left="900" w:hanging="180"/>
        <w:rPr>
          <w:rFonts w:ascii="Arial" w:hAnsi="Arial" w:cs="Arial"/>
        </w:rPr>
      </w:pPr>
      <w:r w:rsidRPr="00AD5277">
        <w:rPr>
          <w:rFonts w:ascii="Arial" w:hAnsi="Arial" w:cs="Arial"/>
        </w:rPr>
        <w:t xml:space="preserve">Failure to complete an approved project may result in a one-year disqualification from participation in the </w:t>
      </w:r>
      <w:r w:rsidRPr="00AD5277">
        <w:rPr>
          <w:rFonts w:ascii="Arial" w:hAnsi="Arial" w:cs="Arial"/>
        </w:rPr>
        <w:lastRenderedPageBreak/>
        <w:t xml:space="preserve">PMF </w:t>
      </w:r>
      <w:r w:rsidR="006C0D52">
        <w:rPr>
          <w:rFonts w:ascii="Arial" w:hAnsi="Arial" w:cs="Arial"/>
        </w:rPr>
        <w:t>p</w:t>
      </w:r>
      <w:r w:rsidRPr="00AD5277">
        <w:rPr>
          <w:rFonts w:ascii="Arial" w:hAnsi="Arial" w:cs="Arial"/>
        </w:rPr>
        <w:t>rogram. In some situations, partial completion of a project or the completion of a project vastly altered from the approved project may result in the withholding of approved funds.</w:t>
      </w:r>
    </w:p>
    <w:p w:rsidR="00B351EF" w:rsidRPr="00AD5277" w:rsidRDefault="00B351EF" w:rsidP="00E328A0">
      <w:pPr>
        <w:widowControl w:val="0"/>
        <w:numPr>
          <w:ilvl w:val="0"/>
          <w:numId w:val="9"/>
        </w:numPr>
        <w:spacing w:after="0" w:line="240" w:lineRule="auto"/>
        <w:ind w:left="900" w:hanging="180"/>
        <w:rPr>
          <w:rFonts w:ascii="Arial" w:hAnsi="Arial" w:cs="Arial"/>
        </w:rPr>
      </w:pPr>
      <w:r w:rsidRPr="00AD5277">
        <w:rPr>
          <w:rFonts w:ascii="Arial" w:hAnsi="Arial" w:cs="Arial"/>
        </w:rPr>
        <w:t xml:space="preserve">Failure to complete a project as agreed </w:t>
      </w:r>
      <w:r w:rsidR="00DA57F3">
        <w:rPr>
          <w:rFonts w:ascii="Arial" w:hAnsi="Arial" w:cs="Arial"/>
        </w:rPr>
        <w:t xml:space="preserve">to </w:t>
      </w:r>
      <w:r w:rsidRPr="00AD5277">
        <w:rPr>
          <w:rFonts w:ascii="Arial" w:hAnsi="Arial" w:cs="Arial"/>
        </w:rPr>
        <w:t xml:space="preserve">will be a consideration in the evaluation of future applications. </w:t>
      </w:r>
    </w:p>
    <w:p w:rsidR="00B351EF" w:rsidRPr="00AD5277" w:rsidRDefault="00B351EF" w:rsidP="00E328A0">
      <w:pPr>
        <w:widowControl w:val="0"/>
        <w:numPr>
          <w:ilvl w:val="0"/>
          <w:numId w:val="9"/>
        </w:numPr>
        <w:spacing w:after="0" w:line="240" w:lineRule="auto"/>
        <w:ind w:left="900" w:hanging="180"/>
        <w:rPr>
          <w:rFonts w:ascii="Arial" w:hAnsi="Arial" w:cs="Arial"/>
          <w:i/>
        </w:rPr>
      </w:pPr>
      <w:r w:rsidRPr="00AD5277">
        <w:rPr>
          <w:rFonts w:ascii="Arial" w:hAnsi="Arial" w:cs="Arial"/>
        </w:rPr>
        <w:t>The Missouri Tourism Commission reserves the right to make all final decisions concerning the administration of this program.</w:t>
      </w:r>
    </w:p>
    <w:p w:rsidR="00B351EF" w:rsidRPr="0070071C" w:rsidRDefault="00B351EF" w:rsidP="00E328A0">
      <w:pPr>
        <w:spacing w:after="0" w:line="240" w:lineRule="auto"/>
        <w:ind w:left="900" w:hanging="180"/>
        <w:rPr>
          <w:rFonts w:ascii="Arial" w:hAnsi="Arial" w:cs="Arial"/>
          <w:sz w:val="16"/>
          <w:szCs w:val="16"/>
        </w:rPr>
      </w:pPr>
    </w:p>
    <w:p w:rsidR="00AD5277" w:rsidRDefault="00AD5277" w:rsidP="00AD5277">
      <w:pPr>
        <w:spacing w:after="0" w:line="240" w:lineRule="auto"/>
        <w:rPr>
          <w:rFonts w:ascii="Arial" w:hAnsi="Arial" w:cs="Arial"/>
          <w:b/>
          <w:sz w:val="24"/>
          <w:szCs w:val="24"/>
          <w:u w:val="single"/>
        </w:rPr>
      </w:pPr>
      <w:r w:rsidRPr="00AD5277">
        <w:rPr>
          <w:rFonts w:ascii="Arial" w:hAnsi="Arial" w:cs="Arial"/>
          <w:b/>
          <w:sz w:val="24"/>
          <w:szCs w:val="24"/>
          <w:u w:val="single"/>
        </w:rPr>
        <w:t>MMG Participation</w:t>
      </w:r>
    </w:p>
    <w:p w:rsidR="00AD5277" w:rsidRPr="00ED3A25" w:rsidRDefault="00AD5277" w:rsidP="00AD5277">
      <w:pPr>
        <w:spacing w:after="0" w:line="240" w:lineRule="auto"/>
        <w:rPr>
          <w:rFonts w:ascii="Arial" w:hAnsi="Arial" w:cs="Arial"/>
          <w:b/>
          <w:sz w:val="16"/>
          <w:szCs w:val="16"/>
          <w:u w:val="single"/>
        </w:rPr>
      </w:pPr>
    </w:p>
    <w:p w:rsidR="00D74499" w:rsidRPr="00AD5277" w:rsidRDefault="00D74499" w:rsidP="00AD5277">
      <w:pPr>
        <w:spacing w:after="0" w:line="240" w:lineRule="auto"/>
        <w:rPr>
          <w:rFonts w:ascii="Arial" w:hAnsi="Arial" w:cs="Arial"/>
          <w:b/>
          <w:sz w:val="24"/>
          <w:szCs w:val="24"/>
        </w:rPr>
      </w:pPr>
      <w:r w:rsidRPr="00AD5277">
        <w:rPr>
          <w:rFonts w:ascii="Arial" w:hAnsi="Arial" w:cs="Arial"/>
          <w:b/>
          <w:sz w:val="24"/>
          <w:szCs w:val="24"/>
        </w:rPr>
        <w:t>DMO Eligibility</w:t>
      </w:r>
    </w:p>
    <w:p w:rsidR="00BE4E0D" w:rsidRDefault="004B63A6" w:rsidP="00A420D9">
      <w:pPr>
        <w:pStyle w:val="BodyTextIndent2"/>
        <w:spacing w:after="0" w:line="240" w:lineRule="auto"/>
        <w:ind w:left="0"/>
        <w:rPr>
          <w:rFonts w:cs="Arial"/>
          <w:sz w:val="22"/>
          <w:szCs w:val="22"/>
        </w:rPr>
      </w:pPr>
      <w:r w:rsidRPr="00AD5277">
        <w:rPr>
          <w:rFonts w:cs="Arial"/>
          <w:sz w:val="22"/>
          <w:szCs w:val="22"/>
        </w:rPr>
        <w:t>MMG is</w:t>
      </w:r>
      <w:r w:rsidR="003F64B8" w:rsidRPr="00AD5277">
        <w:rPr>
          <w:rFonts w:cs="Arial"/>
          <w:sz w:val="22"/>
          <w:szCs w:val="22"/>
        </w:rPr>
        <w:t xml:space="preserve"> available to all </w:t>
      </w:r>
      <w:r w:rsidR="00B205F9" w:rsidRPr="00AD5277">
        <w:rPr>
          <w:rFonts w:cs="Arial"/>
          <w:sz w:val="22"/>
          <w:szCs w:val="22"/>
        </w:rPr>
        <w:t>MDT</w:t>
      </w:r>
      <w:r w:rsidR="00D13EAF">
        <w:rPr>
          <w:rFonts w:cs="Arial"/>
          <w:sz w:val="22"/>
          <w:szCs w:val="22"/>
        </w:rPr>
        <w:t>-</w:t>
      </w:r>
      <w:r w:rsidR="003F64B8" w:rsidRPr="00AD5277">
        <w:rPr>
          <w:rFonts w:cs="Arial"/>
          <w:sz w:val="22"/>
          <w:szCs w:val="22"/>
        </w:rPr>
        <w:t>certified DMOs</w:t>
      </w:r>
      <w:r w:rsidRPr="00AD5277">
        <w:rPr>
          <w:rFonts w:cs="Arial"/>
          <w:sz w:val="22"/>
          <w:szCs w:val="22"/>
        </w:rPr>
        <w:t xml:space="preserve">. </w:t>
      </w:r>
      <w:r w:rsidR="00572668">
        <w:rPr>
          <w:rFonts w:cs="Arial"/>
          <w:sz w:val="22"/>
          <w:szCs w:val="22"/>
        </w:rPr>
        <w:t>See the FY18 DMO Guidelines for additional information.</w:t>
      </w:r>
      <w:r w:rsidR="00A420D9" w:rsidRPr="00AD5277" w:rsidDel="00A420D9">
        <w:rPr>
          <w:rFonts w:cs="Arial"/>
          <w:sz w:val="22"/>
          <w:szCs w:val="22"/>
        </w:rPr>
        <w:t xml:space="preserve"> </w:t>
      </w:r>
      <w:r w:rsidR="00BE4E0D" w:rsidRPr="00AD5277">
        <w:rPr>
          <w:rFonts w:cs="Arial"/>
          <w:sz w:val="22"/>
          <w:szCs w:val="22"/>
        </w:rPr>
        <w:t>The DMO certification applicati</w:t>
      </w:r>
      <w:r w:rsidR="00B205F9" w:rsidRPr="00AD5277">
        <w:rPr>
          <w:rFonts w:cs="Arial"/>
          <w:sz w:val="22"/>
          <w:szCs w:val="22"/>
        </w:rPr>
        <w:t>on and required documentation are</w:t>
      </w:r>
      <w:r w:rsidR="00BE4E0D" w:rsidRPr="00AD5277">
        <w:rPr>
          <w:rFonts w:cs="Arial"/>
          <w:sz w:val="22"/>
          <w:szCs w:val="22"/>
        </w:rPr>
        <w:t xml:space="preserve"> available on the website. </w:t>
      </w:r>
    </w:p>
    <w:p w:rsidR="005D5BC3" w:rsidRDefault="005D5BC3" w:rsidP="00A420D9">
      <w:pPr>
        <w:pStyle w:val="BodyTextIndent2"/>
        <w:spacing w:after="0" w:line="240" w:lineRule="auto"/>
        <w:ind w:left="0"/>
        <w:rPr>
          <w:rFonts w:cs="Arial"/>
          <w:sz w:val="22"/>
          <w:szCs w:val="22"/>
        </w:rPr>
      </w:pPr>
    </w:p>
    <w:p w:rsidR="005D5BC3" w:rsidRDefault="005D5BC3" w:rsidP="00A420D9">
      <w:pPr>
        <w:pStyle w:val="BodyTextIndent2"/>
        <w:spacing w:after="0" w:line="240" w:lineRule="auto"/>
        <w:ind w:left="0"/>
        <w:rPr>
          <w:rFonts w:cs="Arial"/>
          <w:sz w:val="22"/>
          <w:szCs w:val="22"/>
        </w:rPr>
      </w:pPr>
      <w:r>
        <w:rPr>
          <w:rFonts w:cs="Arial"/>
          <w:sz w:val="22"/>
          <w:szCs w:val="22"/>
        </w:rPr>
        <w:t xml:space="preserve">All DMOs to be reimbursed by the MMG must be registered as a vendor through the State of Missouri’s Statewide eProcurement System. For more information, or to sign up, visit </w:t>
      </w:r>
      <w:hyperlink r:id="rId12" w:history="1">
        <w:r w:rsidRPr="0001378B">
          <w:rPr>
            <w:rStyle w:val="Hyperlink"/>
            <w:rFonts w:cs="Arial"/>
            <w:sz w:val="22"/>
            <w:szCs w:val="22"/>
          </w:rPr>
          <w:t>https://missouribuys.mo.gov</w:t>
        </w:r>
      </w:hyperlink>
      <w:r>
        <w:rPr>
          <w:rFonts w:cs="Arial"/>
          <w:sz w:val="22"/>
          <w:szCs w:val="22"/>
        </w:rPr>
        <w:t>.</w:t>
      </w:r>
    </w:p>
    <w:p w:rsidR="007E1519" w:rsidRPr="00ED3A25" w:rsidRDefault="00BE4E0D" w:rsidP="00AD5277">
      <w:pPr>
        <w:spacing w:after="0" w:line="240" w:lineRule="auto"/>
        <w:rPr>
          <w:rFonts w:ascii="Arial" w:hAnsi="Arial" w:cs="Arial"/>
          <w:b/>
          <w:sz w:val="16"/>
          <w:szCs w:val="16"/>
        </w:rPr>
      </w:pPr>
      <w:r w:rsidRPr="00AD5277">
        <w:rPr>
          <w:rFonts w:ascii="Arial" w:hAnsi="Arial" w:cs="Arial"/>
          <w:b/>
        </w:rPr>
        <w:t xml:space="preserve"> </w:t>
      </w:r>
    </w:p>
    <w:p w:rsidR="002226CA" w:rsidRPr="00AD5277" w:rsidRDefault="00BE4E0D" w:rsidP="00AD5277">
      <w:pPr>
        <w:spacing w:after="0" w:line="240" w:lineRule="auto"/>
        <w:rPr>
          <w:rFonts w:ascii="Arial" w:hAnsi="Arial" w:cs="Arial"/>
          <w:b/>
          <w:sz w:val="24"/>
          <w:szCs w:val="24"/>
        </w:rPr>
      </w:pPr>
      <w:r w:rsidRPr="00AD5277">
        <w:rPr>
          <w:rFonts w:ascii="Arial" w:hAnsi="Arial" w:cs="Arial"/>
          <w:b/>
          <w:sz w:val="24"/>
          <w:szCs w:val="24"/>
        </w:rPr>
        <w:t xml:space="preserve">Program </w:t>
      </w:r>
      <w:r w:rsidR="00211F98" w:rsidRPr="00AD5277">
        <w:rPr>
          <w:rFonts w:ascii="Arial" w:hAnsi="Arial" w:cs="Arial"/>
          <w:b/>
          <w:sz w:val="24"/>
          <w:szCs w:val="24"/>
        </w:rPr>
        <w:t xml:space="preserve">Application </w:t>
      </w:r>
    </w:p>
    <w:p w:rsidR="00211F98" w:rsidRDefault="00211F98" w:rsidP="00AD5277">
      <w:pPr>
        <w:spacing w:after="0" w:line="240" w:lineRule="auto"/>
        <w:rPr>
          <w:rFonts w:ascii="Arial" w:hAnsi="Arial" w:cs="Arial"/>
        </w:rPr>
      </w:pPr>
      <w:r w:rsidRPr="00AD5277">
        <w:rPr>
          <w:rFonts w:ascii="Arial" w:hAnsi="Arial" w:cs="Arial"/>
        </w:rPr>
        <w:t>Completed program applications and project budget grids are due at MDT</w:t>
      </w:r>
      <w:r w:rsidR="00FD6342" w:rsidRPr="00AD5277">
        <w:rPr>
          <w:rFonts w:ascii="Arial" w:hAnsi="Arial" w:cs="Arial"/>
        </w:rPr>
        <w:t>’s</w:t>
      </w:r>
      <w:r w:rsidRPr="00AD5277">
        <w:rPr>
          <w:rFonts w:ascii="Arial" w:hAnsi="Arial" w:cs="Arial"/>
        </w:rPr>
        <w:t xml:space="preserve"> Jefferson City</w:t>
      </w:r>
      <w:r w:rsidR="00FD6342" w:rsidRPr="00AD5277">
        <w:rPr>
          <w:rFonts w:ascii="Arial" w:hAnsi="Arial" w:cs="Arial"/>
        </w:rPr>
        <w:t xml:space="preserve"> office </w:t>
      </w:r>
      <w:r w:rsidRPr="00AD5277">
        <w:rPr>
          <w:rFonts w:ascii="Arial" w:hAnsi="Arial" w:cs="Arial"/>
        </w:rPr>
        <w:t>by the dates and times listed on the</w:t>
      </w:r>
      <w:r w:rsidR="00AB7D82">
        <w:rPr>
          <w:rFonts w:ascii="Arial" w:hAnsi="Arial" w:cs="Arial"/>
        </w:rPr>
        <w:t xml:space="preserve"> fiscal year</w:t>
      </w:r>
      <w:r w:rsidRPr="00AD5277">
        <w:rPr>
          <w:rFonts w:ascii="Arial" w:hAnsi="Arial" w:cs="Arial"/>
        </w:rPr>
        <w:t xml:space="preserve"> program calendar. Applications arriving late will not be considered for funding. MDT reviews the MMG applications on a pass/fail basis for completeness and program compliance. </w:t>
      </w:r>
      <w:r w:rsidR="00B205F9" w:rsidRPr="00AD5277">
        <w:rPr>
          <w:rFonts w:ascii="Arial" w:hAnsi="Arial" w:cs="Arial"/>
        </w:rPr>
        <w:t>Applications, budget grids and instructions are available on the website.</w:t>
      </w:r>
    </w:p>
    <w:p w:rsidR="005D5BC3" w:rsidRDefault="005D5BC3" w:rsidP="00AD5277">
      <w:pPr>
        <w:spacing w:after="0" w:line="240" w:lineRule="auto"/>
        <w:rPr>
          <w:rFonts w:ascii="Arial" w:hAnsi="Arial" w:cs="Arial"/>
        </w:rPr>
      </w:pPr>
    </w:p>
    <w:p w:rsidR="005D5BC3" w:rsidRDefault="006C0D52" w:rsidP="008741D2">
      <w:pPr>
        <w:spacing w:after="0" w:line="240" w:lineRule="auto"/>
        <w:rPr>
          <w:rFonts w:ascii="Arial" w:hAnsi="Arial" w:cs="Arial"/>
        </w:rPr>
      </w:pPr>
      <w:r w:rsidRPr="008741D2">
        <w:rPr>
          <w:rFonts w:ascii="Arial" w:hAnsi="Arial" w:cs="Arial"/>
          <w:b/>
        </w:rPr>
        <w:t xml:space="preserve">Bids </w:t>
      </w:r>
      <w:r w:rsidR="008741D2">
        <w:rPr>
          <w:rFonts w:ascii="Arial" w:hAnsi="Arial" w:cs="Arial"/>
        </w:rPr>
        <w:t>–</w:t>
      </w:r>
      <w:r w:rsidRPr="008741D2">
        <w:rPr>
          <w:rFonts w:ascii="Arial" w:hAnsi="Arial" w:cs="Arial"/>
        </w:rPr>
        <w:t xml:space="preserve"> </w:t>
      </w:r>
      <w:r w:rsidR="008741D2">
        <w:rPr>
          <w:rFonts w:ascii="Arial" w:hAnsi="Arial" w:cs="Arial"/>
        </w:rPr>
        <w:t>Follow your internal procurement policy.</w:t>
      </w:r>
    </w:p>
    <w:p w:rsidR="005D5BC3" w:rsidRDefault="005D5BC3" w:rsidP="005D5BC3">
      <w:pPr>
        <w:spacing w:after="0" w:line="240" w:lineRule="auto"/>
        <w:rPr>
          <w:rFonts w:ascii="Arial" w:hAnsi="Arial" w:cs="Arial"/>
        </w:rPr>
      </w:pPr>
    </w:p>
    <w:p w:rsidR="005D5BC3" w:rsidRDefault="006C0D52" w:rsidP="005D5BC3">
      <w:pPr>
        <w:spacing w:after="0" w:line="240" w:lineRule="auto"/>
        <w:rPr>
          <w:rFonts w:ascii="Arial" w:hAnsi="Arial" w:cs="Arial"/>
        </w:rPr>
      </w:pPr>
      <w:r>
        <w:rPr>
          <w:rFonts w:ascii="Arial" w:hAnsi="Arial" w:cs="Arial"/>
          <w:b/>
        </w:rPr>
        <w:t>E-Verify</w:t>
      </w:r>
      <w:r w:rsidRPr="005818E1">
        <w:rPr>
          <w:rFonts w:ascii="Arial" w:hAnsi="Arial" w:cs="Arial"/>
        </w:rPr>
        <w:t xml:space="preserve">- </w:t>
      </w:r>
      <w:r w:rsidR="005D5BC3">
        <w:rPr>
          <w:rFonts w:ascii="Arial" w:hAnsi="Arial" w:cs="Arial"/>
        </w:rPr>
        <w:t>DMOs participating in the MMG program are subject to section 285.530, RSMo, which states:</w:t>
      </w:r>
    </w:p>
    <w:p w:rsidR="005D5BC3" w:rsidRPr="005D5BC3" w:rsidRDefault="005D5BC3" w:rsidP="005D5BC3">
      <w:pPr>
        <w:numPr>
          <w:ilvl w:val="0"/>
          <w:numId w:val="32"/>
        </w:numPr>
        <w:spacing w:after="0" w:line="276" w:lineRule="auto"/>
        <w:rPr>
          <w:rFonts w:ascii="Arial" w:hAnsi="Arial" w:cs="Arial"/>
        </w:rPr>
      </w:pPr>
      <w:r w:rsidRPr="005D5BC3">
        <w:rPr>
          <w:rFonts w:ascii="Arial" w:hAnsi="Arial" w:cs="Arial"/>
        </w:rPr>
        <w:lastRenderedPageBreak/>
        <w:t>No business entity or employer shall knowingly employ, hire for employment, or continue to employ an unauthorized alien to perform work within the state of Missouri.</w:t>
      </w:r>
    </w:p>
    <w:p w:rsidR="005D5BC3" w:rsidRPr="005D5BC3" w:rsidRDefault="005D5BC3" w:rsidP="005D5BC3">
      <w:pPr>
        <w:numPr>
          <w:ilvl w:val="0"/>
          <w:numId w:val="32"/>
        </w:numPr>
        <w:spacing w:after="0" w:line="276" w:lineRule="auto"/>
        <w:rPr>
          <w:rFonts w:ascii="Arial" w:hAnsi="Arial" w:cs="Arial"/>
        </w:rPr>
      </w:pPr>
      <w:r w:rsidRPr="005D5BC3">
        <w:rPr>
          <w:rFonts w:ascii="Arial" w:hAnsi="Arial" w:cs="Arial"/>
        </w:rPr>
        <w:t>As a condition for the award of any contract or grant in excess of five thousand dollars by the state or by any political subdivision of the state to a business entity, or for any business entity receiving a state-administered or subsidized tax credit, tax abatement, or loan from the state, the business entity shall, by sworn affidavit and provision of documentation, affirm its enrollment and participation in a federal work authorization program with respect to the employees working in connection with the contracted services.  Every such business entity shall sign an affidavit affirming that it does not knowingly employ any person who is an unauthorized alien in connection with the contracted services.  Any entity contracting with the state or any political subdivision of the state shall only be required to provide the affidavits required in this subsection to the state and any political subdivision of the state with which it contracts, on an annual basis.  During or immediately after an emergency, the requirements of this subsection that a business entity enroll and participate in a federal work authorization program shall be suspended for fifteen working days.  As used in this subsection, “emergency” includes the following natural and manmade disasters: major snow and ice storms, floods, tornadoes, severe weather, earthquakes, hazardous material incidents, nuclear power plant accidents, other radiological hazards, and major mechanical failures of a public utility facility.</w:t>
      </w:r>
    </w:p>
    <w:p w:rsidR="005D5BC3" w:rsidRPr="005D5BC3" w:rsidRDefault="005D5BC3" w:rsidP="005D5BC3">
      <w:pPr>
        <w:numPr>
          <w:ilvl w:val="0"/>
          <w:numId w:val="32"/>
        </w:numPr>
        <w:spacing w:after="0" w:line="276" w:lineRule="auto"/>
        <w:rPr>
          <w:rFonts w:ascii="Arial" w:hAnsi="Arial" w:cs="Arial"/>
        </w:rPr>
      </w:pPr>
      <w:r w:rsidRPr="005D5BC3">
        <w:rPr>
          <w:rFonts w:ascii="Arial" w:hAnsi="Arial" w:cs="Arial"/>
        </w:rPr>
        <w:t>All public employers shall enroll and actively participate in a federal work authorization program.</w:t>
      </w:r>
    </w:p>
    <w:p w:rsidR="005D5BC3" w:rsidRPr="005D5BC3" w:rsidRDefault="005D5BC3" w:rsidP="005D5BC3">
      <w:pPr>
        <w:numPr>
          <w:ilvl w:val="0"/>
          <w:numId w:val="33"/>
        </w:numPr>
        <w:spacing w:after="0" w:line="276" w:lineRule="auto"/>
        <w:rPr>
          <w:rFonts w:ascii="Arial" w:hAnsi="Arial" w:cs="Arial"/>
        </w:rPr>
      </w:pPr>
      <w:r w:rsidRPr="005D5BC3">
        <w:rPr>
          <w:rFonts w:ascii="Arial" w:hAnsi="Arial" w:cs="Arial"/>
        </w:rPr>
        <w:lastRenderedPageBreak/>
        <w:t>An employer may enroll and participate in a federal work authorization program and shall verify the employment eligibility of every employee in the employer’s hire whose employment commences after the employer enrolls in a federal work authorization program.  The employer shall retain a copy of the dated verification report received from the federal government.  Any business entity that participates in such program shall have an affirmative defense that such business entity has not violated subsection 1 of this section.</w:t>
      </w:r>
    </w:p>
    <w:p w:rsidR="005D5BC3" w:rsidRDefault="005D5BC3" w:rsidP="005D5BC3">
      <w:pPr>
        <w:numPr>
          <w:ilvl w:val="0"/>
          <w:numId w:val="33"/>
        </w:numPr>
        <w:spacing w:after="0" w:line="276" w:lineRule="auto"/>
        <w:rPr>
          <w:rFonts w:ascii="Arial" w:hAnsi="Arial" w:cs="Arial"/>
        </w:rPr>
      </w:pPr>
      <w:r w:rsidRPr="005D5BC3">
        <w:rPr>
          <w:rFonts w:ascii="Arial" w:hAnsi="Arial" w:cs="Arial"/>
        </w:rPr>
        <w:t>A general contractor or subcontractor of any tier shall not be liable under sections 285.525 to 285.550 when such general contractor or subcontractor contracts with its direct subcontractor who violates subsection 1 of this section, if the contract binding the contractor and subcontractor affirmatively states that the direct subcontractor is not knowingly in violation of subsection 1 of this section and shall not henceforth be in such violation and the contractor or subcontractor receives a sworn affidavit under the penalty of perjury attesting to the fact that the direct subcontractor’s employees are lawfully present in the United States.</w:t>
      </w:r>
    </w:p>
    <w:p w:rsidR="005D5BC3" w:rsidRPr="005D5BC3" w:rsidRDefault="005D5BC3" w:rsidP="005D5BC3">
      <w:pPr>
        <w:spacing w:after="0" w:line="276" w:lineRule="auto"/>
        <w:ind w:left="720"/>
        <w:rPr>
          <w:rFonts w:ascii="Arial" w:hAnsi="Arial" w:cs="Arial"/>
        </w:rPr>
      </w:pPr>
    </w:p>
    <w:p w:rsidR="005D5BC3" w:rsidRPr="005D5BC3" w:rsidRDefault="005D5BC3" w:rsidP="005D5BC3">
      <w:pPr>
        <w:ind w:left="360"/>
        <w:rPr>
          <w:rFonts w:ascii="Arial" w:hAnsi="Arial" w:cs="Arial"/>
        </w:rPr>
      </w:pPr>
      <w:r w:rsidRPr="005D5BC3">
        <w:rPr>
          <w:rFonts w:ascii="Arial" w:hAnsi="Arial" w:cs="Arial"/>
          <w:b/>
        </w:rPr>
        <w:t>Affidavit of Work Authorization and Documentation</w:t>
      </w:r>
      <w:r w:rsidRPr="005D5BC3">
        <w:rPr>
          <w:rFonts w:ascii="Arial" w:hAnsi="Arial" w:cs="Arial"/>
        </w:rPr>
        <w:t xml:space="preserve"> - Pursuant to section 285.530, RSMo, if the contractor meets the section 285.525, RSMo, definition of a “business entity” (</w:t>
      </w:r>
      <w:hyperlink r:id="rId13" w:history="1">
        <w:r w:rsidRPr="005D5BC3">
          <w:rPr>
            <w:rStyle w:val="Hyperlink"/>
            <w:rFonts w:ascii="Arial" w:hAnsi="Arial" w:cs="Arial"/>
          </w:rPr>
          <w:t>http://www.moga.mo.gov/statutes/C200-299/2850000525.HTM</w:t>
        </w:r>
      </w:hyperlink>
      <w:r w:rsidRPr="005D5BC3">
        <w:rPr>
          <w:rFonts w:ascii="Arial" w:hAnsi="Arial" w:cs="Arial"/>
        </w:rPr>
        <w:t xml:space="preserve">), the contractor must affirm the contractor’s enrollment and participation in the E-Verify federal work authorization program with respect to the employees hired after enrollment in the program who are proposed to work in connection with the services requested herein.  The </w:t>
      </w:r>
      <w:r w:rsidRPr="005D5BC3">
        <w:rPr>
          <w:rFonts w:ascii="Arial" w:hAnsi="Arial" w:cs="Arial"/>
        </w:rPr>
        <w:lastRenderedPageBreak/>
        <w:t xml:space="preserve">contractor should complete applicable portions of the </w:t>
      </w:r>
      <w:hyperlink w:anchor="Exhibit" w:history="1">
        <w:r w:rsidRPr="005D5BC3">
          <w:rPr>
            <w:rStyle w:val="Hyperlink"/>
            <w:rFonts w:ascii="Arial" w:hAnsi="Arial" w:cs="Arial"/>
          </w:rPr>
          <w:t>Business Entity Certification, Enrollment Documentation, and Affidavit of Work Authorization Exhibit</w:t>
        </w:r>
      </w:hyperlink>
      <w:r w:rsidRPr="005D5BC3">
        <w:rPr>
          <w:rFonts w:ascii="Arial" w:hAnsi="Arial" w:cs="Arial"/>
        </w:rPr>
        <w:t>.  The applicable portions of Exhibit must be submitted prior to an award of a contract.</w:t>
      </w:r>
    </w:p>
    <w:p w:rsidR="005D5BC3" w:rsidRPr="005D5BC3" w:rsidRDefault="005D5BC3" w:rsidP="005D5BC3">
      <w:pPr>
        <w:spacing w:line="276" w:lineRule="auto"/>
        <w:ind w:left="360"/>
        <w:rPr>
          <w:rFonts w:ascii="Arial" w:hAnsi="Arial" w:cs="Arial"/>
        </w:rPr>
      </w:pPr>
      <w:r w:rsidRPr="005D5BC3">
        <w:rPr>
          <w:rFonts w:ascii="Arial" w:hAnsi="Arial" w:cs="Arial"/>
          <w:b/>
        </w:rPr>
        <w:t xml:space="preserve">Contractor’s </w:t>
      </w:r>
      <w:r w:rsidR="00DA57F3">
        <w:rPr>
          <w:rFonts w:ascii="Arial" w:hAnsi="Arial" w:cs="Arial"/>
          <w:b/>
        </w:rPr>
        <w:t>P</w:t>
      </w:r>
      <w:r w:rsidRPr="005D5BC3">
        <w:rPr>
          <w:rFonts w:ascii="Arial" w:hAnsi="Arial" w:cs="Arial"/>
          <w:b/>
        </w:rPr>
        <w:t xml:space="preserve">ersonnel </w:t>
      </w:r>
      <w:r w:rsidRPr="005D5BC3">
        <w:rPr>
          <w:rFonts w:ascii="Arial" w:hAnsi="Arial" w:cs="Arial"/>
        </w:rPr>
        <w:t>- The contractor shall only employ personnel authorized to work in the United States in accordance with applicable federal and state laws. This includes but is not limited to the Illegal Immigration Reform and Immigrant Responsibility Act (IIRIRA) and INA Section 274A.</w:t>
      </w:r>
    </w:p>
    <w:p w:rsidR="005D5BC3" w:rsidRPr="005D5BC3" w:rsidRDefault="005D5BC3" w:rsidP="005D5BC3">
      <w:pPr>
        <w:spacing w:line="276" w:lineRule="auto"/>
        <w:ind w:left="360"/>
        <w:rPr>
          <w:rFonts w:ascii="Arial" w:hAnsi="Arial" w:cs="Arial"/>
        </w:rPr>
      </w:pPr>
      <w:r w:rsidRPr="005D5BC3">
        <w:rPr>
          <w:rFonts w:ascii="Arial" w:hAnsi="Arial" w:cs="Arial"/>
        </w:rPr>
        <w:t xml:space="preserve">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w:t>
      </w:r>
      <w:r w:rsidR="00DB1C04">
        <w:rPr>
          <w:rFonts w:ascii="Arial" w:hAnsi="Arial" w:cs="Arial"/>
        </w:rPr>
        <w:t>25</w:t>
      </w:r>
      <w:r w:rsidRPr="005D5BC3">
        <w:rPr>
          <w:rFonts w:ascii="Arial" w:hAnsi="Arial" w:cs="Arial"/>
        </w:rPr>
        <w:t xml:space="preserve"> percent of the total amount due to the contractor.</w:t>
      </w:r>
    </w:p>
    <w:p w:rsidR="005D5BC3" w:rsidRPr="005D5BC3" w:rsidRDefault="005D5BC3" w:rsidP="005D5BC3">
      <w:pPr>
        <w:spacing w:line="276" w:lineRule="auto"/>
        <w:ind w:left="360"/>
        <w:rPr>
          <w:rFonts w:ascii="Arial" w:hAnsi="Arial" w:cs="Arial"/>
        </w:rPr>
      </w:pPr>
      <w:r w:rsidRPr="005D5BC3">
        <w:rPr>
          <w:rFonts w:ascii="Arial" w:hAnsi="Arial" w:cs="Arial"/>
        </w:rPr>
        <w:t>The contractor shall agree to fully cooperate with any audit or investigation from federal, state or local law enforcement agencies.</w:t>
      </w:r>
    </w:p>
    <w:p w:rsidR="005D5BC3" w:rsidRPr="005D5BC3" w:rsidRDefault="005D5BC3" w:rsidP="005D5BC3">
      <w:pPr>
        <w:ind w:left="360"/>
        <w:rPr>
          <w:rFonts w:ascii="Arial" w:hAnsi="Arial" w:cs="Arial"/>
        </w:rPr>
      </w:pPr>
      <w:bookmarkStart w:id="1" w:name="OLE_LINK1"/>
      <w:r w:rsidRPr="005D5BC3">
        <w:rPr>
          <w:rFonts w:ascii="Arial" w:hAnsi="Arial" w:cs="Arial"/>
        </w:rPr>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w:t>
      </w:r>
      <w:r w:rsidRPr="005D5BC3">
        <w:rPr>
          <w:rFonts w:ascii="Arial" w:hAnsi="Arial" w:cs="Arial"/>
        </w:rPr>
        <w:lastRenderedPageBreak/>
        <w:t>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rsidR="005D5BC3" w:rsidRPr="005D5BC3" w:rsidRDefault="005D5BC3" w:rsidP="005D5BC3">
      <w:pPr>
        <w:ind w:left="720" w:hanging="360"/>
        <w:rPr>
          <w:rFonts w:ascii="Arial" w:hAnsi="Arial" w:cs="Arial"/>
        </w:rPr>
      </w:pPr>
      <w:r w:rsidRPr="005D5BC3">
        <w:rPr>
          <w:rFonts w:ascii="Arial" w:hAnsi="Arial" w:cs="Arial"/>
        </w:rPr>
        <w:t>(1)</w:t>
      </w:r>
      <w:r w:rsidRPr="005D5BC3">
        <w:rPr>
          <w:rFonts w:ascii="Arial" w:hAnsi="Arial" w:cs="Arial"/>
        </w:rPr>
        <w:tab/>
        <w:t xml:space="preserve">Enroll and participate in the E-Verify federal work authorization program with respect to the employees hired after enrollment in the program who are proposed to work in connection with the services required herein;  AND </w:t>
      </w:r>
    </w:p>
    <w:p w:rsidR="005D5BC3" w:rsidRPr="005D5BC3" w:rsidRDefault="005D5BC3" w:rsidP="005D5BC3">
      <w:pPr>
        <w:ind w:left="720" w:hanging="360"/>
        <w:rPr>
          <w:rFonts w:ascii="Arial" w:hAnsi="Arial" w:cs="Arial"/>
        </w:rPr>
      </w:pPr>
      <w:r w:rsidRPr="005D5BC3">
        <w:rPr>
          <w:rFonts w:ascii="Arial" w:hAnsi="Arial" w:cs="Arial"/>
        </w:rPr>
        <w:t>(2)</w:t>
      </w:r>
      <w:r w:rsidRPr="005D5BC3">
        <w:rPr>
          <w:rFonts w:ascii="Arial" w:hAnsi="Arial" w:cs="Arial"/>
        </w:rPr>
        <w:tab/>
        <w:t xml:space="preserve">Provide to the Missouri Division of Tourism the documentation required in the exhibit titled,  </w:t>
      </w:r>
      <w:hyperlink w:anchor="Exhibit" w:history="1">
        <w:r w:rsidRPr="005D5BC3">
          <w:rPr>
            <w:rStyle w:val="Hyperlink"/>
            <w:rFonts w:ascii="Arial" w:hAnsi="Arial" w:cs="Arial"/>
          </w:rPr>
          <w:t>Business Entity Certification, Enrollment Documentation, and Affidavit of Work Authorization Exhibit</w:t>
        </w:r>
      </w:hyperlink>
      <w:r w:rsidRPr="005D5BC3">
        <w:rPr>
          <w:rFonts w:ascii="Arial" w:hAnsi="Arial" w:cs="Arial"/>
        </w:rPr>
        <w:t xml:space="preserve"> affirming said company’s/individual’s enrollment and participation in the E-Verify federal work authorization program; AND </w:t>
      </w:r>
    </w:p>
    <w:p w:rsidR="005D5BC3" w:rsidRPr="005D5BC3" w:rsidRDefault="005D5BC3" w:rsidP="005D5BC3">
      <w:pPr>
        <w:ind w:left="720" w:hanging="360"/>
        <w:rPr>
          <w:rFonts w:ascii="Arial" w:hAnsi="Arial" w:cs="Arial"/>
        </w:rPr>
      </w:pPr>
      <w:r w:rsidRPr="005D5BC3">
        <w:rPr>
          <w:rFonts w:ascii="Arial" w:hAnsi="Arial" w:cs="Arial"/>
        </w:rPr>
        <w:t>(3)</w:t>
      </w:r>
      <w:r w:rsidRPr="005D5BC3">
        <w:rPr>
          <w:rFonts w:ascii="Arial" w:hAnsi="Arial" w:cs="Arial"/>
        </w:rPr>
        <w:tab/>
        <w:t xml:space="preserve">Submit to the Missouri Division of Tourism a completed, notarized Affidavit of Work Authorization provided in the exhibit titled, </w:t>
      </w:r>
      <w:hyperlink w:anchor="Exhibit" w:history="1">
        <w:r w:rsidRPr="005D5BC3">
          <w:rPr>
            <w:rStyle w:val="Hyperlink"/>
            <w:rFonts w:ascii="Arial" w:hAnsi="Arial" w:cs="Arial"/>
          </w:rPr>
          <w:t>Business Entity Certification, Enrollment Documentation, and Affidavit of Work Authorization Exhibit</w:t>
        </w:r>
      </w:hyperlink>
      <w:r w:rsidRPr="005D5BC3">
        <w:rPr>
          <w:rFonts w:ascii="Arial" w:hAnsi="Arial" w:cs="Arial"/>
        </w:rPr>
        <w:t>.</w:t>
      </w:r>
      <w:bookmarkEnd w:id="1"/>
    </w:p>
    <w:p w:rsidR="005D5BC3" w:rsidRPr="005D5BC3" w:rsidRDefault="005D5BC3" w:rsidP="005D5BC3">
      <w:pPr>
        <w:rPr>
          <w:rFonts w:ascii="Arial" w:hAnsi="Arial" w:cs="Arial"/>
        </w:rPr>
      </w:pPr>
      <w:r w:rsidRPr="005D5BC3">
        <w:rPr>
          <w:rFonts w:ascii="Arial" w:hAnsi="Arial" w:cs="Arial"/>
        </w:rPr>
        <w:t>In accordance with subsection 2 of section 285.530, RSMo, the contractor should renew their Affidavit of Work Authorization annually. A valid Affidavit of Work Authorization is necessary to award any new contracts.</w:t>
      </w:r>
    </w:p>
    <w:p w:rsidR="005D5BC3" w:rsidRPr="005D5BC3" w:rsidRDefault="005D5BC3" w:rsidP="005D5BC3">
      <w:pPr>
        <w:spacing w:line="276" w:lineRule="auto"/>
        <w:ind w:left="360"/>
        <w:rPr>
          <w:rFonts w:ascii="Arial" w:hAnsi="Arial" w:cs="Arial"/>
        </w:rPr>
      </w:pPr>
      <w:r w:rsidRPr="005D5BC3">
        <w:rPr>
          <w:rFonts w:ascii="Arial" w:hAnsi="Arial" w:cs="Arial"/>
          <w:b/>
        </w:rPr>
        <w:t xml:space="preserve">Subcontractors </w:t>
      </w:r>
      <w:r w:rsidRPr="005D5BC3">
        <w:rPr>
          <w:rFonts w:ascii="Arial" w:hAnsi="Arial" w:cs="Arial"/>
        </w:rPr>
        <w:t xml:space="preserve">- Any subcontracts for the products/services described herein must include appropriate provisions and contractual obligations to ensure the successful fulfillment of all contractual obligations agreed to by the contractor and the State of Missouri and to ensure that the State of Missouri is indemnified, saved and held harmless from and </w:t>
      </w:r>
      <w:r w:rsidRPr="005D5BC3">
        <w:rPr>
          <w:rFonts w:ascii="Arial" w:hAnsi="Arial" w:cs="Arial"/>
        </w:rPr>
        <w:lastRenderedPageBreak/>
        <w:t>against any and all claims of damage, loss and cost (including attorney fees) of any kind related to a subcontract in those matters described in the contract between the State of Missouri and the contractor. The contractor shall expressly understand and agree that he/she shall assume and be solely responsible for all legal and financial responsibilities related to the execution of a subcontract. The contractor shall agree and understand that utilization of a subcontractor to provide any of the products/services in the contract shall in no way relieve the contractor of the responsibility for providing the products/services as described and set forth herein.</w:t>
      </w:r>
    </w:p>
    <w:p w:rsidR="005D5BC3" w:rsidRPr="005D5BC3" w:rsidRDefault="005D5BC3" w:rsidP="005D5BC3">
      <w:pPr>
        <w:ind w:left="360"/>
        <w:rPr>
          <w:rFonts w:ascii="Arial" w:hAnsi="Arial" w:cs="Arial"/>
          <w:sz w:val="16"/>
          <w:szCs w:val="16"/>
        </w:rPr>
      </w:pPr>
      <w:r w:rsidRPr="005D5BC3">
        <w:rPr>
          <w:rFonts w:ascii="Arial" w:hAnsi="Arial" w:cs="Arial"/>
        </w:rPr>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5D5BC3" w:rsidRPr="005D5BC3" w:rsidRDefault="005D5BC3" w:rsidP="005D5BC3">
      <w:pPr>
        <w:numPr>
          <w:ilvl w:val="0"/>
          <w:numId w:val="34"/>
        </w:numPr>
        <w:spacing w:after="0" w:line="240" w:lineRule="auto"/>
        <w:rPr>
          <w:rFonts w:ascii="Arial" w:hAnsi="Arial" w:cs="Arial"/>
        </w:rPr>
      </w:pPr>
      <w:r w:rsidRPr="005D5BC3">
        <w:rPr>
          <w:rFonts w:ascii="Arial" w:hAnsi="Arial" w:cs="Arial"/>
        </w:rPr>
        <w:t>the direct subcontractor is not knowingly in violation of subsection 1 of section 285.530, RSMo, and</w:t>
      </w:r>
    </w:p>
    <w:p w:rsidR="005D5BC3" w:rsidRPr="005D5BC3" w:rsidRDefault="005D5BC3" w:rsidP="005D5BC3">
      <w:pPr>
        <w:numPr>
          <w:ilvl w:val="0"/>
          <w:numId w:val="34"/>
        </w:numPr>
        <w:spacing w:after="0" w:line="240" w:lineRule="auto"/>
        <w:rPr>
          <w:rFonts w:ascii="Arial" w:hAnsi="Arial" w:cs="Arial"/>
        </w:rPr>
      </w:pPr>
      <w:r w:rsidRPr="005D5BC3">
        <w:rPr>
          <w:rFonts w:ascii="Arial" w:hAnsi="Arial" w:cs="Arial"/>
        </w:rPr>
        <w:t>shall not henceforth be in such violation and</w:t>
      </w:r>
    </w:p>
    <w:p w:rsidR="00020DA1" w:rsidRDefault="001B4093">
      <w:pPr>
        <w:pStyle w:val="ListParagraph"/>
        <w:numPr>
          <w:ilvl w:val="0"/>
          <w:numId w:val="34"/>
        </w:numPr>
        <w:spacing w:after="0" w:line="240" w:lineRule="auto"/>
        <w:rPr>
          <w:rFonts w:ascii="Arial" w:hAnsi="Arial" w:cs="Arial"/>
        </w:rPr>
      </w:pPr>
      <w:r w:rsidRPr="001B4093">
        <w:rPr>
          <w:rFonts w:ascii="Arial" w:hAnsi="Arial" w:cs="Arial"/>
        </w:rPr>
        <w:t>the contractor or subcontractor receives a sworn affidavit under the penalty of perjury attesting to the fact that the direct subcontractor’s employees are lawfully present in the United States.</w:t>
      </w:r>
    </w:p>
    <w:p w:rsidR="00A3097A" w:rsidRPr="005D5BC3" w:rsidRDefault="00A3097A" w:rsidP="00AD5277">
      <w:pPr>
        <w:spacing w:after="0" w:line="240" w:lineRule="auto"/>
        <w:rPr>
          <w:rFonts w:ascii="Arial" w:hAnsi="Arial" w:cs="Arial"/>
          <w:b/>
          <w:sz w:val="16"/>
          <w:szCs w:val="16"/>
        </w:rPr>
      </w:pPr>
    </w:p>
    <w:p w:rsidR="009368DC" w:rsidRDefault="009368DC" w:rsidP="00AD5277">
      <w:pPr>
        <w:spacing w:after="0" w:line="240" w:lineRule="auto"/>
        <w:rPr>
          <w:rFonts w:ascii="Arial" w:hAnsi="Arial" w:cs="Arial"/>
          <w:b/>
          <w:sz w:val="24"/>
          <w:szCs w:val="24"/>
        </w:rPr>
      </w:pPr>
    </w:p>
    <w:p w:rsidR="002226CA" w:rsidRPr="00AD5277" w:rsidRDefault="00D01CC2" w:rsidP="00AD5277">
      <w:pPr>
        <w:spacing w:after="0" w:line="240" w:lineRule="auto"/>
        <w:rPr>
          <w:rFonts w:ascii="Arial" w:hAnsi="Arial" w:cs="Arial"/>
          <w:b/>
          <w:sz w:val="24"/>
          <w:szCs w:val="24"/>
        </w:rPr>
      </w:pPr>
      <w:r w:rsidRPr="00AD5277">
        <w:rPr>
          <w:rFonts w:ascii="Arial" w:hAnsi="Arial" w:cs="Arial"/>
          <w:b/>
          <w:sz w:val="24"/>
          <w:szCs w:val="24"/>
        </w:rPr>
        <w:t xml:space="preserve">Partnerships </w:t>
      </w:r>
    </w:p>
    <w:p w:rsidR="00A420D9" w:rsidRDefault="002226CA" w:rsidP="00AD5277">
      <w:pPr>
        <w:spacing w:after="0" w:line="240" w:lineRule="auto"/>
        <w:rPr>
          <w:rFonts w:ascii="Arial" w:hAnsi="Arial" w:cs="Arial"/>
        </w:rPr>
      </w:pPr>
      <w:r w:rsidRPr="00AD5277">
        <w:rPr>
          <w:rFonts w:ascii="Arial" w:hAnsi="Arial" w:cs="Arial"/>
        </w:rPr>
        <w:lastRenderedPageBreak/>
        <w:t xml:space="preserve">A certified DMO is responsible for working with tourism organizations and businesses to promote </w:t>
      </w:r>
      <w:r w:rsidR="00DA57F3">
        <w:rPr>
          <w:rFonts w:ascii="Arial" w:hAnsi="Arial" w:cs="Arial"/>
        </w:rPr>
        <w:t xml:space="preserve">tourism </w:t>
      </w:r>
      <w:r w:rsidRPr="00AD5277">
        <w:rPr>
          <w:rFonts w:ascii="Arial" w:hAnsi="Arial" w:cs="Arial"/>
        </w:rPr>
        <w:t xml:space="preserve">on a countywide basis. </w:t>
      </w:r>
      <w:r w:rsidR="002D4BD8" w:rsidRPr="00AD5277">
        <w:rPr>
          <w:rFonts w:ascii="Arial" w:hAnsi="Arial" w:cs="Arial"/>
        </w:rPr>
        <w:t xml:space="preserve">Although MDT is the primary partner </w:t>
      </w:r>
      <w:r w:rsidR="004C34E7">
        <w:rPr>
          <w:rFonts w:ascii="Arial" w:hAnsi="Arial" w:cs="Arial"/>
        </w:rPr>
        <w:t>of</w:t>
      </w:r>
      <w:r w:rsidR="002D4BD8" w:rsidRPr="00AD5277">
        <w:rPr>
          <w:rFonts w:ascii="Arial" w:hAnsi="Arial" w:cs="Arial"/>
        </w:rPr>
        <w:t xml:space="preserve"> the DMO, the Division also supports additional financial partnerships.</w:t>
      </w:r>
      <w:r w:rsidR="008E4C96" w:rsidRPr="00AD5277">
        <w:rPr>
          <w:rFonts w:ascii="Arial" w:hAnsi="Arial" w:cs="Arial"/>
        </w:rPr>
        <w:t xml:space="preserve"> Upon entering into a</w:t>
      </w:r>
      <w:r w:rsidR="00502DFF">
        <w:rPr>
          <w:rFonts w:ascii="Arial" w:hAnsi="Arial" w:cs="Arial"/>
        </w:rPr>
        <w:t xml:space="preserve"> financial</w:t>
      </w:r>
      <w:r w:rsidR="008E4C96" w:rsidRPr="00AD5277">
        <w:rPr>
          <w:rFonts w:ascii="Arial" w:hAnsi="Arial" w:cs="Arial"/>
        </w:rPr>
        <w:t xml:space="preserve"> agreement(s), it is recommended t</w:t>
      </w:r>
      <w:r w:rsidR="002D4BD8" w:rsidRPr="00AD5277">
        <w:rPr>
          <w:rFonts w:ascii="Arial" w:hAnsi="Arial" w:cs="Arial"/>
        </w:rPr>
        <w:t>he participating certified DMO</w:t>
      </w:r>
      <w:r w:rsidR="008E4C96" w:rsidRPr="00AD5277">
        <w:rPr>
          <w:rFonts w:ascii="Arial" w:hAnsi="Arial" w:cs="Arial"/>
        </w:rPr>
        <w:t xml:space="preserve"> share</w:t>
      </w:r>
      <w:r w:rsidR="002D4BD8" w:rsidRPr="00AD5277">
        <w:rPr>
          <w:rFonts w:ascii="Arial" w:hAnsi="Arial" w:cs="Arial"/>
        </w:rPr>
        <w:t xml:space="preserve"> MMG guidelines, requirements and updates with</w:t>
      </w:r>
      <w:r w:rsidR="0002350C" w:rsidRPr="00AD5277">
        <w:rPr>
          <w:rFonts w:ascii="Arial" w:hAnsi="Arial" w:cs="Arial"/>
        </w:rPr>
        <w:t xml:space="preserve"> the</w:t>
      </w:r>
      <w:r w:rsidR="00DA57F3">
        <w:rPr>
          <w:rFonts w:ascii="Arial" w:hAnsi="Arial" w:cs="Arial"/>
        </w:rPr>
        <w:t>ir</w:t>
      </w:r>
      <w:r w:rsidR="002D4BD8" w:rsidRPr="00AD5277">
        <w:rPr>
          <w:rFonts w:ascii="Arial" w:hAnsi="Arial" w:cs="Arial"/>
        </w:rPr>
        <w:t xml:space="preserve"> </w:t>
      </w:r>
      <w:r w:rsidR="00DA57F3">
        <w:rPr>
          <w:rFonts w:ascii="Arial" w:hAnsi="Arial" w:cs="Arial"/>
        </w:rPr>
        <w:t>partner(s) to</w:t>
      </w:r>
      <w:r w:rsidR="008E4C96" w:rsidRPr="00AD5277">
        <w:rPr>
          <w:rFonts w:ascii="Arial" w:hAnsi="Arial" w:cs="Arial"/>
        </w:rPr>
        <w:t xml:space="preserve"> ensure program compliance and </w:t>
      </w:r>
      <w:r w:rsidR="000245B6" w:rsidRPr="00AD5277">
        <w:rPr>
          <w:rFonts w:ascii="Arial" w:hAnsi="Arial" w:cs="Arial"/>
        </w:rPr>
        <w:t xml:space="preserve">foster </w:t>
      </w:r>
      <w:r w:rsidR="008E4C96" w:rsidRPr="00AD5277">
        <w:rPr>
          <w:rFonts w:ascii="Arial" w:hAnsi="Arial" w:cs="Arial"/>
        </w:rPr>
        <w:t>transparency.</w:t>
      </w:r>
    </w:p>
    <w:p w:rsidR="00A420D9" w:rsidRDefault="00A420D9" w:rsidP="00AD5277">
      <w:pPr>
        <w:spacing w:after="0" w:line="240" w:lineRule="auto"/>
        <w:rPr>
          <w:rFonts w:ascii="Arial" w:hAnsi="Arial" w:cs="Arial"/>
        </w:rPr>
      </w:pPr>
    </w:p>
    <w:p w:rsidR="002226CA" w:rsidRPr="00AD5277" w:rsidRDefault="00A420D9" w:rsidP="00AD5277">
      <w:pPr>
        <w:spacing w:after="0" w:line="240" w:lineRule="auto"/>
        <w:rPr>
          <w:rFonts w:ascii="Arial" w:hAnsi="Arial" w:cs="Arial"/>
        </w:rPr>
      </w:pPr>
      <w:r>
        <w:rPr>
          <w:rFonts w:ascii="Arial" w:hAnsi="Arial" w:cs="Arial"/>
        </w:rPr>
        <w:t xml:space="preserve">MDT will not be communicating with the partners of the </w:t>
      </w:r>
      <w:r w:rsidR="00B86BC7">
        <w:rPr>
          <w:rFonts w:ascii="Arial" w:hAnsi="Arial" w:cs="Arial"/>
        </w:rPr>
        <w:t>certified DMO</w:t>
      </w:r>
      <w:r>
        <w:rPr>
          <w:rFonts w:ascii="Arial" w:hAnsi="Arial" w:cs="Arial"/>
        </w:rPr>
        <w:t xml:space="preserve"> conc</w:t>
      </w:r>
      <w:r w:rsidR="00B86BC7">
        <w:rPr>
          <w:rFonts w:ascii="Arial" w:hAnsi="Arial" w:cs="Arial"/>
        </w:rPr>
        <w:t>erning the project</w:t>
      </w:r>
      <w:r>
        <w:rPr>
          <w:rFonts w:ascii="Arial" w:hAnsi="Arial" w:cs="Arial"/>
        </w:rPr>
        <w:t xml:space="preserve">. </w:t>
      </w:r>
      <w:r w:rsidR="000245B6" w:rsidRPr="00AD5277">
        <w:rPr>
          <w:rFonts w:ascii="Arial" w:hAnsi="Arial" w:cs="Arial"/>
        </w:rPr>
        <w:t xml:space="preserve">All </w:t>
      </w:r>
      <w:r>
        <w:rPr>
          <w:rFonts w:ascii="Arial" w:hAnsi="Arial" w:cs="Arial"/>
        </w:rPr>
        <w:t>project</w:t>
      </w:r>
      <w:r w:rsidRPr="00AD5277">
        <w:rPr>
          <w:rFonts w:ascii="Arial" w:hAnsi="Arial" w:cs="Arial"/>
        </w:rPr>
        <w:t xml:space="preserve"> </w:t>
      </w:r>
      <w:r w:rsidR="000245B6" w:rsidRPr="00AD5277">
        <w:rPr>
          <w:rFonts w:ascii="Arial" w:hAnsi="Arial" w:cs="Arial"/>
        </w:rPr>
        <w:t xml:space="preserve">communication </w:t>
      </w:r>
      <w:r>
        <w:rPr>
          <w:rFonts w:ascii="Arial" w:hAnsi="Arial" w:cs="Arial"/>
        </w:rPr>
        <w:t>(media, ads, policy, e</w:t>
      </w:r>
      <w:r w:rsidR="0070071C">
        <w:rPr>
          <w:rFonts w:ascii="Arial" w:hAnsi="Arial" w:cs="Arial"/>
        </w:rPr>
        <w:t>tc.</w:t>
      </w:r>
      <w:r>
        <w:rPr>
          <w:rFonts w:ascii="Arial" w:hAnsi="Arial" w:cs="Arial"/>
        </w:rPr>
        <w:t xml:space="preserve">) </w:t>
      </w:r>
      <w:r w:rsidR="00FD6342" w:rsidRPr="00AD5277">
        <w:rPr>
          <w:rFonts w:ascii="Arial" w:hAnsi="Arial" w:cs="Arial"/>
        </w:rPr>
        <w:t>must</w:t>
      </w:r>
      <w:r w:rsidR="000245B6" w:rsidRPr="00AD5277">
        <w:rPr>
          <w:rFonts w:ascii="Arial" w:hAnsi="Arial" w:cs="Arial"/>
        </w:rPr>
        <w:t xml:space="preserve"> be between MDT and the participating</w:t>
      </w:r>
      <w:r w:rsidR="00B86BC7">
        <w:rPr>
          <w:rFonts w:ascii="Arial" w:hAnsi="Arial" w:cs="Arial"/>
        </w:rPr>
        <w:t>,</w:t>
      </w:r>
      <w:r w:rsidR="000245B6" w:rsidRPr="00AD5277">
        <w:rPr>
          <w:rFonts w:ascii="Arial" w:hAnsi="Arial" w:cs="Arial"/>
        </w:rPr>
        <w:t xml:space="preserve"> certified DMO</w:t>
      </w:r>
      <w:r w:rsidR="00896A2E">
        <w:rPr>
          <w:rFonts w:ascii="Arial" w:hAnsi="Arial" w:cs="Arial"/>
        </w:rPr>
        <w:t>.</w:t>
      </w:r>
      <w:r>
        <w:rPr>
          <w:rFonts w:ascii="Arial" w:hAnsi="Arial" w:cs="Arial"/>
        </w:rPr>
        <w:t xml:space="preserve"> </w:t>
      </w:r>
      <w:r w:rsidR="00502DFF">
        <w:rPr>
          <w:rFonts w:ascii="Arial" w:hAnsi="Arial" w:cs="Arial"/>
        </w:rPr>
        <w:t>The DMO must provide</w:t>
      </w:r>
      <w:r>
        <w:rPr>
          <w:rFonts w:ascii="Arial" w:hAnsi="Arial" w:cs="Arial"/>
        </w:rPr>
        <w:t xml:space="preserve"> one primary contact, ref</w:t>
      </w:r>
      <w:r w:rsidR="0070071C">
        <w:rPr>
          <w:rFonts w:ascii="Arial" w:hAnsi="Arial" w:cs="Arial"/>
        </w:rPr>
        <w:t>e</w:t>
      </w:r>
      <w:r>
        <w:rPr>
          <w:rFonts w:ascii="Arial" w:hAnsi="Arial" w:cs="Arial"/>
        </w:rPr>
        <w:t>rred to as the “Project Director</w:t>
      </w:r>
      <w:r w:rsidR="00896A2E">
        <w:rPr>
          <w:rFonts w:ascii="Arial" w:hAnsi="Arial" w:cs="Arial"/>
        </w:rPr>
        <w:t>.</w:t>
      </w:r>
      <w:r>
        <w:rPr>
          <w:rFonts w:ascii="Arial" w:hAnsi="Arial" w:cs="Arial"/>
        </w:rPr>
        <w:t>” However, it is important that the DMO provide both the President/CEO and the Project Director’s contact information and that must be two different individuals. Any change to the DMO’s President/CEO or the Project Director requires completion of a Key Personnel Change Form. It is imperative that MDT has the most current co</w:t>
      </w:r>
      <w:r w:rsidR="0070071C">
        <w:rPr>
          <w:rFonts w:ascii="Arial" w:hAnsi="Arial" w:cs="Arial"/>
        </w:rPr>
        <w:t>n</w:t>
      </w:r>
      <w:r>
        <w:rPr>
          <w:rFonts w:ascii="Arial" w:hAnsi="Arial" w:cs="Arial"/>
        </w:rPr>
        <w:t xml:space="preserve">tact information at all times. You may request this form by contacting the cooperative marketing team. </w:t>
      </w:r>
      <w:r w:rsidR="000245B6" w:rsidRPr="00AD5277">
        <w:rPr>
          <w:rFonts w:ascii="Arial" w:hAnsi="Arial" w:cs="Arial"/>
        </w:rPr>
        <w:t xml:space="preserve">  </w:t>
      </w:r>
    </w:p>
    <w:p w:rsidR="00960D8C" w:rsidRPr="00ED3A25" w:rsidRDefault="00960D8C" w:rsidP="00AD5277">
      <w:pPr>
        <w:spacing w:after="0" w:line="240" w:lineRule="auto"/>
        <w:rPr>
          <w:rFonts w:ascii="Arial" w:hAnsi="Arial" w:cs="Arial"/>
          <w:b/>
          <w:sz w:val="16"/>
          <w:szCs w:val="16"/>
        </w:rPr>
      </w:pPr>
    </w:p>
    <w:p w:rsidR="009368DC" w:rsidRDefault="009368DC" w:rsidP="00AD5277">
      <w:pPr>
        <w:spacing w:after="0" w:line="240" w:lineRule="auto"/>
        <w:rPr>
          <w:rFonts w:ascii="Arial" w:hAnsi="Arial" w:cs="Arial"/>
          <w:b/>
          <w:sz w:val="24"/>
          <w:szCs w:val="24"/>
        </w:rPr>
      </w:pPr>
    </w:p>
    <w:p w:rsidR="00D01CC2" w:rsidRPr="00AD5277" w:rsidRDefault="00D01CC2" w:rsidP="00AD5277">
      <w:pPr>
        <w:spacing w:after="0" w:line="240" w:lineRule="auto"/>
        <w:rPr>
          <w:rFonts w:ascii="Arial" w:hAnsi="Arial" w:cs="Arial"/>
          <w:b/>
          <w:sz w:val="24"/>
          <w:szCs w:val="24"/>
        </w:rPr>
      </w:pPr>
      <w:r w:rsidRPr="00AD5277">
        <w:rPr>
          <w:rFonts w:ascii="Arial" w:hAnsi="Arial" w:cs="Arial"/>
          <w:b/>
          <w:sz w:val="24"/>
          <w:szCs w:val="24"/>
        </w:rPr>
        <w:t>Awards</w:t>
      </w:r>
    </w:p>
    <w:p w:rsidR="00211F98" w:rsidRPr="00AD5277" w:rsidRDefault="00211F98" w:rsidP="00AD5277">
      <w:pPr>
        <w:spacing w:after="0" w:line="240" w:lineRule="auto"/>
        <w:rPr>
          <w:rFonts w:ascii="Arial" w:hAnsi="Arial" w:cs="Arial"/>
        </w:rPr>
      </w:pPr>
      <w:r w:rsidRPr="00AD5277">
        <w:rPr>
          <w:rFonts w:ascii="Arial" w:hAnsi="Arial" w:cs="Arial"/>
        </w:rPr>
        <w:t xml:space="preserve">Award notification letters are emailed to </w:t>
      </w:r>
      <w:r w:rsidR="00A420D9">
        <w:rPr>
          <w:rFonts w:ascii="Arial" w:hAnsi="Arial" w:cs="Arial"/>
        </w:rPr>
        <w:t>the DMO President/CEO and DMO Project Director (listed on the application)</w:t>
      </w:r>
      <w:r w:rsidR="00A420D9" w:rsidRPr="00AD5277">
        <w:rPr>
          <w:rFonts w:ascii="Arial" w:hAnsi="Arial" w:cs="Arial"/>
        </w:rPr>
        <w:t xml:space="preserve"> </w:t>
      </w:r>
      <w:r w:rsidRPr="00AD5277">
        <w:rPr>
          <w:rFonts w:ascii="Arial" w:hAnsi="Arial" w:cs="Arial"/>
        </w:rPr>
        <w:t xml:space="preserve">prior to the beginning of the project period. </w:t>
      </w:r>
    </w:p>
    <w:p w:rsidR="00211F98" w:rsidRPr="00AD5277" w:rsidRDefault="00211F98" w:rsidP="00AD5277">
      <w:pPr>
        <w:spacing w:after="0" w:line="240" w:lineRule="auto"/>
        <w:rPr>
          <w:rFonts w:ascii="Arial" w:hAnsi="Arial" w:cs="Arial"/>
        </w:rPr>
      </w:pPr>
    </w:p>
    <w:p w:rsidR="009368DC" w:rsidRDefault="009368DC" w:rsidP="00AD5277">
      <w:pPr>
        <w:pStyle w:val="BodyText"/>
        <w:spacing w:line="240" w:lineRule="auto"/>
        <w:rPr>
          <w:rFonts w:cs="Arial"/>
          <w:b/>
          <w:sz w:val="22"/>
          <w:szCs w:val="22"/>
        </w:rPr>
      </w:pPr>
    </w:p>
    <w:p w:rsidR="002164F0" w:rsidRPr="000C0720" w:rsidRDefault="002164F0" w:rsidP="00AD5277">
      <w:pPr>
        <w:pStyle w:val="BodyText"/>
        <w:spacing w:line="240" w:lineRule="auto"/>
        <w:rPr>
          <w:rFonts w:cs="Arial"/>
          <w:b/>
          <w:sz w:val="22"/>
          <w:szCs w:val="22"/>
        </w:rPr>
      </w:pPr>
      <w:r w:rsidRPr="000C0720">
        <w:rPr>
          <w:rFonts w:cs="Arial"/>
          <w:b/>
          <w:sz w:val="22"/>
          <w:szCs w:val="22"/>
        </w:rPr>
        <w:t xml:space="preserve">The PMF budget amounts are </w:t>
      </w:r>
      <w:r w:rsidR="00DA57F3" w:rsidRPr="000C0720">
        <w:rPr>
          <w:rFonts w:cs="Arial"/>
          <w:b/>
          <w:sz w:val="22"/>
          <w:szCs w:val="22"/>
        </w:rPr>
        <w:t>tied to the annual funding MDT received from the General Assembly. Therefore, PMF allocations may change from the original estimate i</w:t>
      </w:r>
      <w:r w:rsidR="00DB1C04" w:rsidRPr="000C0720">
        <w:rPr>
          <w:rFonts w:cs="Arial"/>
          <w:b/>
          <w:sz w:val="22"/>
          <w:szCs w:val="22"/>
        </w:rPr>
        <w:t>f</w:t>
      </w:r>
      <w:r w:rsidR="00DA57F3" w:rsidRPr="000C0720">
        <w:rPr>
          <w:rFonts w:cs="Arial"/>
          <w:b/>
          <w:sz w:val="22"/>
          <w:szCs w:val="22"/>
        </w:rPr>
        <w:t xml:space="preserve"> MDT’s budget is changed mid-year. The number of certified DMOs and the County Tourism Levels (CTLs) also have an impact on the maximum funding amounts and may cause budgets to change. While MDT makes every effort to ensure DMOs </w:t>
      </w:r>
      <w:r w:rsidR="00DA57F3" w:rsidRPr="000C0720">
        <w:rPr>
          <w:rFonts w:cs="Arial"/>
          <w:b/>
          <w:sz w:val="22"/>
          <w:szCs w:val="22"/>
        </w:rPr>
        <w:lastRenderedPageBreak/>
        <w:t>are awarded the proposed funding, those levels may need to be modified at a later date.</w:t>
      </w:r>
    </w:p>
    <w:p w:rsidR="00D13EAF" w:rsidRPr="0070071C" w:rsidRDefault="00D13EAF" w:rsidP="00AD5277">
      <w:pPr>
        <w:pStyle w:val="BodyText"/>
        <w:spacing w:line="240" w:lineRule="auto"/>
        <w:rPr>
          <w:rFonts w:cs="Arial"/>
          <w:b/>
          <w:sz w:val="16"/>
          <w:szCs w:val="16"/>
        </w:rPr>
      </w:pPr>
    </w:p>
    <w:p w:rsidR="00DB1C04" w:rsidRDefault="00DB1C04" w:rsidP="00AD5277">
      <w:pPr>
        <w:spacing w:after="0" w:line="240" w:lineRule="auto"/>
        <w:rPr>
          <w:rFonts w:ascii="Arial" w:hAnsi="Arial" w:cs="Arial"/>
          <w:b/>
          <w:sz w:val="24"/>
          <w:szCs w:val="24"/>
        </w:rPr>
      </w:pPr>
    </w:p>
    <w:p w:rsidR="00045B21" w:rsidRPr="00AD5277" w:rsidRDefault="002164F0" w:rsidP="00AD5277">
      <w:pPr>
        <w:spacing w:after="0" w:line="240" w:lineRule="auto"/>
        <w:rPr>
          <w:rFonts w:ascii="Arial" w:hAnsi="Arial" w:cs="Arial"/>
          <w:b/>
          <w:sz w:val="24"/>
          <w:szCs w:val="24"/>
        </w:rPr>
      </w:pPr>
      <w:r w:rsidRPr="00AD5277">
        <w:rPr>
          <w:rFonts w:ascii="Arial" w:hAnsi="Arial" w:cs="Arial"/>
          <w:b/>
          <w:sz w:val="24"/>
          <w:szCs w:val="24"/>
        </w:rPr>
        <w:t>County Tourism Level</w:t>
      </w:r>
    </w:p>
    <w:p w:rsidR="002164F0" w:rsidRPr="00AD5277" w:rsidRDefault="002164F0" w:rsidP="00AD5277">
      <w:pPr>
        <w:spacing w:after="0" w:line="240" w:lineRule="auto"/>
        <w:rPr>
          <w:rFonts w:ascii="Arial" w:hAnsi="Arial" w:cs="Arial"/>
        </w:rPr>
      </w:pPr>
      <w:r w:rsidRPr="00AD5277">
        <w:rPr>
          <w:rFonts w:ascii="Arial" w:hAnsi="Arial" w:cs="Arial"/>
        </w:rPr>
        <w:t xml:space="preserve">Grant allocations are awarded based on </w:t>
      </w:r>
      <w:r w:rsidR="00045B21" w:rsidRPr="00AD5277">
        <w:rPr>
          <w:rFonts w:ascii="Arial" w:hAnsi="Arial" w:cs="Arial"/>
        </w:rPr>
        <w:t>the CTL</w:t>
      </w:r>
      <w:r w:rsidRPr="00AD5277">
        <w:rPr>
          <w:rFonts w:ascii="Arial" w:hAnsi="Arial" w:cs="Arial"/>
        </w:rPr>
        <w:t xml:space="preserve"> calculated for each Missouri county. The CTL formula </w:t>
      </w:r>
      <w:r w:rsidR="00FD6342" w:rsidRPr="00AD5277">
        <w:rPr>
          <w:rFonts w:ascii="Arial" w:hAnsi="Arial" w:cs="Arial"/>
        </w:rPr>
        <w:t>considers</w:t>
      </w:r>
      <w:r w:rsidRPr="00AD5277">
        <w:rPr>
          <w:rFonts w:ascii="Arial" w:hAnsi="Arial" w:cs="Arial"/>
        </w:rPr>
        <w:t xml:space="preserve"> limited tourist expenditures, lodging e</w:t>
      </w:r>
      <w:r w:rsidR="00B634ED" w:rsidRPr="00AD5277">
        <w:rPr>
          <w:rFonts w:ascii="Arial" w:hAnsi="Arial" w:cs="Arial"/>
        </w:rPr>
        <w:t>xpenditures, tourism employment, state park</w:t>
      </w:r>
      <w:r w:rsidR="004C34E7">
        <w:rPr>
          <w:rFonts w:ascii="Arial" w:hAnsi="Arial" w:cs="Arial"/>
        </w:rPr>
        <w:t>s</w:t>
      </w:r>
      <w:r w:rsidR="00B634ED" w:rsidRPr="00AD5277">
        <w:rPr>
          <w:rFonts w:ascii="Arial" w:hAnsi="Arial" w:cs="Arial"/>
        </w:rPr>
        <w:t xml:space="preserve"> with overnight opportunities</w:t>
      </w:r>
      <w:r w:rsidR="00A420D9">
        <w:rPr>
          <w:rFonts w:ascii="Arial" w:hAnsi="Arial" w:cs="Arial"/>
        </w:rPr>
        <w:t xml:space="preserve"> </w:t>
      </w:r>
      <w:r w:rsidRPr="00AD5277">
        <w:rPr>
          <w:rFonts w:ascii="Arial" w:hAnsi="Arial" w:cs="Arial"/>
        </w:rPr>
        <w:t>and the level of PMF funding awarded in</w:t>
      </w:r>
      <w:r w:rsidR="00B634ED" w:rsidRPr="00AD5277">
        <w:rPr>
          <w:rFonts w:ascii="Arial" w:hAnsi="Arial" w:cs="Arial"/>
        </w:rPr>
        <w:t xml:space="preserve"> the</w:t>
      </w:r>
      <w:r w:rsidRPr="00AD5277">
        <w:rPr>
          <w:rFonts w:ascii="Arial" w:hAnsi="Arial" w:cs="Arial"/>
        </w:rPr>
        <w:t xml:space="preserve"> previous</w:t>
      </w:r>
      <w:r w:rsidR="00B634ED" w:rsidRPr="00AD5277">
        <w:rPr>
          <w:rFonts w:ascii="Arial" w:hAnsi="Arial" w:cs="Arial"/>
        </w:rPr>
        <w:t xml:space="preserve"> three</w:t>
      </w:r>
      <w:r w:rsidRPr="00AD5277">
        <w:rPr>
          <w:rFonts w:ascii="Arial" w:hAnsi="Arial" w:cs="Arial"/>
        </w:rPr>
        <w:t xml:space="preserve"> years. CTLs are updated annually to reflect changes in the economic position of the county and all data </w:t>
      </w:r>
      <w:r w:rsidR="007340F4">
        <w:rPr>
          <w:rFonts w:ascii="Arial" w:hAnsi="Arial" w:cs="Arial"/>
        </w:rPr>
        <w:t>are</w:t>
      </w:r>
      <w:r w:rsidRPr="00AD5277">
        <w:rPr>
          <w:rFonts w:ascii="Arial" w:hAnsi="Arial" w:cs="Arial"/>
        </w:rPr>
        <w:t xml:space="preserve"> collected from state agencies. </w:t>
      </w:r>
    </w:p>
    <w:p w:rsidR="00BC4E30" w:rsidRPr="00ED3A25" w:rsidRDefault="00BC4E30" w:rsidP="00AD5277">
      <w:pPr>
        <w:spacing w:after="0" w:line="240" w:lineRule="auto"/>
        <w:rPr>
          <w:rFonts w:ascii="Arial" w:hAnsi="Arial" w:cs="Arial"/>
          <w:sz w:val="16"/>
          <w:szCs w:val="16"/>
        </w:rPr>
      </w:pPr>
    </w:p>
    <w:p w:rsidR="009368DC" w:rsidRDefault="009368DC" w:rsidP="00AD5277">
      <w:pPr>
        <w:spacing w:after="0" w:line="240" w:lineRule="auto"/>
        <w:rPr>
          <w:rFonts w:ascii="Arial" w:hAnsi="Arial" w:cs="Arial"/>
          <w:b/>
          <w:sz w:val="24"/>
          <w:szCs w:val="24"/>
        </w:rPr>
      </w:pPr>
    </w:p>
    <w:p w:rsidR="009368DC" w:rsidRDefault="009368DC" w:rsidP="00AD5277">
      <w:pPr>
        <w:spacing w:after="0" w:line="240" w:lineRule="auto"/>
        <w:rPr>
          <w:rFonts w:ascii="Arial" w:hAnsi="Arial" w:cs="Arial"/>
          <w:b/>
          <w:sz w:val="24"/>
          <w:szCs w:val="24"/>
        </w:rPr>
      </w:pPr>
    </w:p>
    <w:p w:rsidR="009368DC" w:rsidRDefault="009368DC" w:rsidP="00AD5277">
      <w:pPr>
        <w:spacing w:after="0" w:line="240" w:lineRule="auto"/>
        <w:rPr>
          <w:rFonts w:ascii="Arial" w:hAnsi="Arial" w:cs="Arial"/>
          <w:b/>
          <w:sz w:val="24"/>
          <w:szCs w:val="24"/>
        </w:rPr>
      </w:pPr>
    </w:p>
    <w:p w:rsidR="009368DC" w:rsidRDefault="009368DC" w:rsidP="00AD5277">
      <w:pPr>
        <w:spacing w:after="0" w:line="240" w:lineRule="auto"/>
        <w:rPr>
          <w:rFonts w:ascii="Arial" w:hAnsi="Arial" w:cs="Arial"/>
          <w:b/>
          <w:sz w:val="24"/>
          <w:szCs w:val="24"/>
        </w:rPr>
      </w:pPr>
    </w:p>
    <w:p w:rsidR="009368DC" w:rsidRDefault="009368DC" w:rsidP="00AD5277">
      <w:pPr>
        <w:spacing w:after="0" w:line="240" w:lineRule="auto"/>
        <w:rPr>
          <w:rFonts w:ascii="Arial" w:hAnsi="Arial" w:cs="Arial"/>
          <w:b/>
          <w:sz w:val="24"/>
          <w:szCs w:val="24"/>
        </w:rPr>
      </w:pPr>
    </w:p>
    <w:p w:rsidR="00045B21" w:rsidRPr="00CE484E" w:rsidRDefault="00045B21" w:rsidP="00AD5277">
      <w:pPr>
        <w:spacing w:after="0" w:line="240" w:lineRule="auto"/>
        <w:rPr>
          <w:rFonts w:ascii="Arial" w:hAnsi="Arial" w:cs="Arial"/>
          <w:b/>
          <w:sz w:val="16"/>
          <w:szCs w:val="16"/>
        </w:rPr>
      </w:pPr>
      <w:r w:rsidRPr="00AD5277">
        <w:rPr>
          <w:rFonts w:ascii="Arial" w:hAnsi="Arial" w:cs="Arial"/>
          <w:b/>
          <w:sz w:val="24"/>
          <w:szCs w:val="24"/>
        </w:rPr>
        <w:t xml:space="preserve">Allocation </w:t>
      </w:r>
      <w:r w:rsidR="00CE484E" w:rsidRPr="00CE484E">
        <w:rPr>
          <w:rFonts w:ascii="Arial" w:hAnsi="Arial" w:cs="Arial"/>
          <w:sz w:val="16"/>
          <w:szCs w:val="16"/>
        </w:rPr>
        <w:t>*</w:t>
      </w:r>
      <w:r w:rsidR="00896A2E">
        <w:rPr>
          <w:rFonts w:ascii="Arial" w:hAnsi="Arial" w:cs="Arial"/>
          <w:sz w:val="16"/>
          <w:szCs w:val="16"/>
        </w:rPr>
        <w:t>H</w:t>
      </w:r>
      <w:r w:rsidR="00CE484E" w:rsidRPr="00CE484E">
        <w:rPr>
          <w:rFonts w:ascii="Arial" w:hAnsi="Arial" w:cs="Arial"/>
          <w:sz w:val="16"/>
          <w:szCs w:val="16"/>
        </w:rPr>
        <w:t xml:space="preserve">ighlighted </w:t>
      </w:r>
      <w:r w:rsidR="00896A2E">
        <w:rPr>
          <w:rFonts w:ascii="Arial" w:hAnsi="Arial" w:cs="Arial"/>
          <w:sz w:val="16"/>
          <w:szCs w:val="16"/>
        </w:rPr>
        <w:t xml:space="preserve">listings </w:t>
      </w:r>
      <w:r w:rsidR="00CE484E" w:rsidRPr="00CE484E">
        <w:rPr>
          <w:rFonts w:ascii="Arial" w:hAnsi="Arial" w:cs="Arial"/>
          <w:sz w:val="16"/>
          <w:szCs w:val="16"/>
        </w:rPr>
        <w:t>are FY18 certified DMOs</w:t>
      </w:r>
    </w:p>
    <w:tbl>
      <w:tblPr>
        <w:tblpPr w:leftFromText="180" w:rightFromText="180" w:vertAnchor="text" w:horzAnchor="margin" w:tblpX="-310" w:tblpY="172"/>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795"/>
        <w:gridCol w:w="5520"/>
        <w:gridCol w:w="2880"/>
      </w:tblGrid>
      <w:tr w:rsidR="00045B21" w:rsidRPr="00AD5277" w:rsidTr="0002350C">
        <w:trPr>
          <w:trHeight w:val="20"/>
        </w:trPr>
        <w:tc>
          <w:tcPr>
            <w:tcW w:w="1795" w:type="dxa"/>
            <w:shd w:val="clear" w:color="auto" w:fill="E0E0E0"/>
            <w:vAlign w:val="bottom"/>
          </w:tcPr>
          <w:p w:rsidR="00045B21" w:rsidRPr="00AD5277" w:rsidRDefault="00045B21" w:rsidP="00AD5277">
            <w:pPr>
              <w:spacing w:after="0" w:line="240" w:lineRule="auto"/>
              <w:jc w:val="center"/>
              <w:rPr>
                <w:rFonts w:ascii="Arial" w:hAnsi="Arial" w:cs="Arial"/>
              </w:rPr>
            </w:pPr>
            <w:r w:rsidRPr="00AD5277">
              <w:rPr>
                <w:rFonts w:ascii="Arial" w:hAnsi="Arial" w:cs="Arial"/>
                <w:b/>
                <w:bCs/>
              </w:rPr>
              <w:t>County Tourism Level (CTL)</w:t>
            </w:r>
          </w:p>
        </w:tc>
        <w:tc>
          <w:tcPr>
            <w:tcW w:w="5520" w:type="dxa"/>
            <w:vAlign w:val="center"/>
          </w:tcPr>
          <w:p w:rsidR="00045B21" w:rsidRPr="00AD5277" w:rsidRDefault="00045B21" w:rsidP="00AD5277">
            <w:pPr>
              <w:spacing w:after="0" w:line="240" w:lineRule="auto"/>
              <w:jc w:val="center"/>
              <w:rPr>
                <w:rFonts w:ascii="Arial" w:hAnsi="Arial" w:cs="Arial"/>
                <w:b/>
                <w:bCs/>
              </w:rPr>
            </w:pPr>
          </w:p>
          <w:p w:rsidR="00045B21" w:rsidRPr="00AD5277" w:rsidRDefault="004C34E7" w:rsidP="00AD5277">
            <w:pPr>
              <w:spacing w:after="0" w:line="240" w:lineRule="auto"/>
              <w:jc w:val="center"/>
              <w:rPr>
                <w:rFonts w:ascii="Arial" w:hAnsi="Arial" w:cs="Arial"/>
              </w:rPr>
            </w:pPr>
            <w:r>
              <w:rPr>
                <w:rFonts w:ascii="Arial" w:hAnsi="Arial" w:cs="Arial"/>
                <w:b/>
                <w:bCs/>
              </w:rPr>
              <w:t xml:space="preserve">FY2018 </w:t>
            </w:r>
            <w:r w:rsidR="00045B21" w:rsidRPr="00AD5277">
              <w:rPr>
                <w:rFonts w:ascii="Arial" w:hAnsi="Arial" w:cs="Arial"/>
                <w:b/>
                <w:bCs/>
              </w:rPr>
              <w:t>County and County Partnerships</w:t>
            </w:r>
          </w:p>
          <w:p w:rsidR="00045B21" w:rsidRPr="00AD5277" w:rsidRDefault="00045B21" w:rsidP="00AD5277">
            <w:pPr>
              <w:spacing w:after="0" w:line="240" w:lineRule="auto"/>
              <w:jc w:val="center"/>
              <w:rPr>
                <w:rFonts w:ascii="Arial" w:hAnsi="Arial" w:cs="Arial"/>
              </w:rPr>
            </w:pPr>
          </w:p>
        </w:tc>
        <w:tc>
          <w:tcPr>
            <w:tcW w:w="2880" w:type="dxa"/>
            <w:vAlign w:val="bottom"/>
          </w:tcPr>
          <w:p w:rsidR="00045B21" w:rsidRPr="00AD5277" w:rsidRDefault="00045B21" w:rsidP="00AD5277">
            <w:pPr>
              <w:spacing w:after="0" w:line="240" w:lineRule="auto"/>
              <w:jc w:val="center"/>
              <w:rPr>
                <w:rFonts w:ascii="Arial" w:hAnsi="Arial" w:cs="Arial"/>
                <w:b/>
                <w:bCs/>
              </w:rPr>
            </w:pPr>
            <w:r w:rsidRPr="00AD5277">
              <w:rPr>
                <w:rFonts w:ascii="Arial" w:hAnsi="Arial" w:cs="Arial"/>
                <w:b/>
                <w:bCs/>
              </w:rPr>
              <w:t>Allocation</w:t>
            </w:r>
          </w:p>
          <w:p w:rsidR="00045B21" w:rsidRPr="00AD5277" w:rsidRDefault="00045B21" w:rsidP="00AD5277">
            <w:pPr>
              <w:spacing w:after="0" w:line="240" w:lineRule="auto"/>
              <w:jc w:val="center"/>
              <w:rPr>
                <w:rFonts w:ascii="Arial" w:hAnsi="Arial" w:cs="Arial"/>
              </w:rPr>
            </w:pPr>
          </w:p>
        </w:tc>
      </w:tr>
      <w:tr w:rsidR="00045B21" w:rsidRPr="00AD5277" w:rsidTr="00572668">
        <w:trPr>
          <w:cantSplit/>
          <w:trHeight w:val="392"/>
        </w:trPr>
        <w:tc>
          <w:tcPr>
            <w:tcW w:w="1795" w:type="dxa"/>
            <w:shd w:val="clear" w:color="auto" w:fill="E0E0E0"/>
            <w:vAlign w:val="center"/>
          </w:tcPr>
          <w:p w:rsidR="00045B21" w:rsidRPr="00AD5277" w:rsidRDefault="00045B21" w:rsidP="00AD5277">
            <w:pPr>
              <w:spacing w:after="0" w:line="240" w:lineRule="auto"/>
              <w:jc w:val="center"/>
              <w:rPr>
                <w:rFonts w:ascii="Arial" w:hAnsi="Arial" w:cs="Arial"/>
              </w:rPr>
            </w:pPr>
            <w:r w:rsidRPr="00AD5277">
              <w:rPr>
                <w:rFonts w:ascii="Arial" w:hAnsi="Arial" w:cs="Arial"/>
                <w:b/>
                <w:bCs/>
              </w:rPr>
              <w:t>7</w:t>
            </w:r>
          </w:p>
        </w:tc>
        <w:tc>
          <w:tcPr>
            <w:tcW w:w="5520" w:type="dxa"/>
            <w:vAlign w:val="center"/>
          </w:tcPr>
          <w:p w:rsidR="00045B21" w:rsidRPr="00AD5277" w:rsidRDefault="00045B21" w:rsidP="00AD5277">
            <w:pPr>
              <w:spacing w:after="0" w:line="240" w:lineRule="auto"/>
              <w:rPr>
                <w:rFonts w:ascii="Arial" w:hAnsi="Arial" w:cs="Arial"/>
              </w:rPr>
            </w:pPr>
            <w:r w:rsidRPr="00CE484E">
              <w:rPr>
                <w:rFonts w:ascii="Arial" w:hAnsi="Arial" w:cs="Arial"/>
                <w:highlight w:val="yellow"/>
              </w:rPr>
              <w:t>Jackson, St. Louis City/County, Taney</w:t>
            </w:r>
            <w:r w:rsidRPr="00AD5277">
              <w:rPr>
                <w:rFonts w:ascii="Arial" w:hAnsi="Arial" w:cs="Arial"/>
              </w:rPr>
              <w:t xml:space="preserve"> </w:t>
            </w:r>
          </w:p>
        </w:tc>
        <w:tc>
          <w:tcPr>
            <w:tcW w:w="2880" w:type="dxa"/>
            <w:vAlign w:val="center"/>
          </w:tcPr>
          <w:p w:rsidR="00045B21" w:rsidRPr="00572668" w:rsidRDefault="00045B21" w:rsidP="007340F4">
            <w:pPr>
              <w:spacing w:after="0" w:line="240" w:lineRule="auto"/>
              <w:jc w:val="center"/>
              <w:rPr>
                <w:rFonts w:ascii="Arial" w:hAnsi="Arial" w:cs="Arial"/>
              </w:rPr>
            </w:pPr>
            <w:r w:rsidRPr="00572668">
              <w:rPr>
                <w:rFonts w:ascii="Arial" w:hAnsi="Arial" w:cs="Arial"/>
              </w:rPr>
              <w:t>$</w:t>
            </w:r>
            <w:r w:rsidR="007340F4">
              <w:rPr>
                <w:rFonts w:ascii="Arial" w:hAnsi="Arial" w:cs="Arial"/>
              </w:rPr>
              <w:t>475</w:t>
            </w:r>
            <w:r w:rsidR="00572668" w:rsidRPr="00572668">
              <w:rPr>
                <w:rFonts w:ascii="Arial" w:hAnsi="Arial" w:cs="Arial"/>
              </w:rPr>
              <w:t>,000</w:t>
            </w:r>
            <w:r w:rsidRPr="00572668">
              <w:rPr>
                <w:rFonts w:ascii="Arial" w:hAnsi="Arial" w:cs="Arial"/>
              </w:rPr>
              <w:t xml:space="preserve"> MMG</w:t>
            </w:r>
          </w:p>
        </w:tc>
      </w:tr>
      <w:tr w:rsidR="00045B21" w:rsidRPr="00AD5277" w:rsidTr="00572668">
        <w:trPr>
          <w:trHeight w:val="347"/>
        </w:trPr>
        <w:tc>
          <w:tcPr>
            <w:tcW w:w="1795" w:type="dxa"/>
            <w:shd w:val="clear" w:color="auto" w:fill="E0E0E0"/>
            <w:vAlign w:val="center"/>
          </w:tcPr>
          <w:p w:rsidR="00045B21" w:rsidRPr="00AD5277" w:rsidRDefault="00045B21" w:rsidP="00AD5277">
            <w:pPr>
              <w:spacing w:after="0" w:line="240" w:lineRule="auto"/>
              <w:jc w:val="center"/>
              <w:rPr>
                <w:rFonts w:ascii="Arial" w:hAnsi="Arial" w:cs="Arial"/>
              </w:rPr>
            </w:pPr>
            <w:r w:rsidRPr="00AD5277">
              <w:rPr>
                <w:rFonts w:ascii="Arial" w:hAnsi="Arial" w:cs="Arial"/>
                <w:b/>
                <w:bCs/>
              </w:rPr>
              <w:t>6</w:t>
            </w:r>
          </w:p>
        </w:tc>
        <w:tc>
          <w:tcPr>
            <w:tcW w:w="5520" w:type="dxa"/>
            <w:vAlign w:val="center"/>
          </w:tcPr>
          <w:p w:rsidR="00045B21" w:rsidRPr="00AD5277" w:rsidRDefault="00045B21" w:rsidP="00486967">
            <w:pPr>
              <w:spacing w:after="0" w:line="240" w:lineRule="auto"/>
              <w:rPr>
                <w:rFonts w:ascii="Arial" w:hAnsi="Arial" w:cs="Arial"/>
              </w:rPr>
            </w:pPr>
            <w:r w:rsidRPr="00CE484E">
              <w:rPr>
                <w:rFonts w:ascii="Arial" w:hAnsi="Arial" w:cs="Arial"/>
                <w:highlight w:val="yellow"/>
              </w:rPr>
              <w:t>Greene/Polk/Christian</w:t>
            </w:r>
            <w:r w:rsidR="00572668" w:rsidRPr="00CE484E">
              <w:rPr>
                <w:rFonts w:ascii="Arial" w:hAnsi="Arial" w:cs="Arial"/>
                <w:highlight w:val="yellow"/>
              </w:rPr>
              <w:t>, Stone</w:t>
            </w:r>
          </w:p>
        </w:tc>
        <w:tc>
          <w:tcPr>
            <w:tcW w:w="2880" w:type="dxa"/>
            <w:vAlign w:val="center"/>
          </w:tcPr>
          <w:p w:rsidR="00045B21" w:rsidRPr="00572668" w:rsidRDefault="00045B21" w:rsidP="007340F4">
            <w:pPr>
              <w:spacing w:after="0" w:line="240" w:lineRule="auto"/>
              <w:jc w:val="center"/>
              <w:rPr>
                <w:rFonts w:ascii="Arial" w:hAnsi="Arial" w:cs="Arial"/>
              </w:rPr>
            </w:pPr>
            <w:r w:rsidRPr="00572668">
              <w:rPr>
                <w:rFonts w:ascii="Arial" w:hAnsi="Arial" w:cs="Arial"/>
              </w:rPr>
              <w:t>$</w:t>
            </w:r>
            <w:r w:rsidR="007340F4">
              <w:rPr>
                <w:rFonts w:ascii="Arial" w:hAnsi="Arial" w:cs="Arial"/>
              </w:rPr>
              <w:t>43</w:t>
            </w:r>
            <w:r w:rsidR="00572668">
              <w:rPr>
                <w:rFonts w:ascii="Arial" w:hAnsi="Arial" w:cs="Arial"/>
              </w:rPr>
              <w:t>0</w:t>
            </w:r>
            <w:r w:rsidRPr="00572668">
              <w:rPr>
                <w:rFonts w:ascii="Arial" w:hAnsi="Arial" w:cs="Arial"/>
              </w:rPr>
              <w:t>,000 MMG</w:t>
            </w:r>
          </w:p>
        </w:tc>
      </w:tr>
      <w:tr w:rsidR="00045B21" w:rsidRPr="00AD5277" w:rsidTr="00CE484E">
        <w:trPr>
          <w:cantSplit/>
          <w:trHeight w:val="617"/>
        </w:trPr>
        <w:tc>
          <w:tcPr>
            <w:tcW w:w="1795" w:type="dxa"/>
            <w:shd w:val="clear" w:color="auto" w:fill="E0E0E0"/>
            <w:vAlign w:val="center"/>
          </w:tcPr>
          <w:p w:rsidR="00045B21" w:rsidRPr="00AD5277" w:rsidRDefault="00045B21" w:rsidP="00AD5277">
            <w:pPr>
              <w:spacing w:after="0" w:line="240" w:lineRule="auto"/>
              <w:jc w:val="center"/>
              <w:rPr>
                <w:rFonts w:ascii="Arial" w:hAnsi="Arial" w:cs="Arial"/>
              </w:rPr>
            </w:pPr>
            <w:r w:rsidRPr="00AD5277">
              <w:rPr>
                <w:rFonts w:ascii="Arial" w:hAnsi="Arial" w:cs="Arial"/>
                <w:b/>
                <w:bCs/>
              </w:rPr>
              <w:t>5</w:t>
            </w:r>
          </w:p>
        </w:tc>
        <w:tc>
          <w:tcPr>
            <w:tcW w:w="5520" w:type="dxa"/>
            <w:vAlign w:val="center"/>
          </w:tcPr>
          <w:p w:rsidR="00045B21" w:rsidRPr="00AD5277" w:rsidRDefault="00045B21" w:rsidP="007340F4">
            <w:pPr>
              <w:spacing w:after="0" w:line="240" w:lineRule="auto"/>
              <w:rPr>
                <w:rFonts w:ascii="Arial" w:hAnsi="Arial" w:cs="Arial"/>
              </w:rPr>
            </w:pPr>
            <w:r w:rsidRPr="00CE484E">
              <w:rPr>
                <w:rFonts w:ascii="Arial" w:hAnsi="Arial" w:cs="Arial"/>
                <w:highlight w:val="yellow"/>
              </w:rPr>
              <w:t xml:space="preserve">Boone, Camden/Miller/Morgan, Clay, </w:t>
            </w:r>
            <w:r w:rsidRPr="00486967">
              <w:rPr>
                <w:rFonts w:ascii="Arial" w:hAnsi="Arial" w:cs="Arial"/>
                <w:highlight w:val="yellow"/>
              </w:rPr>
              <w:t>Platte</w:t>
            </w:r>
            <w:r w:rsidR="00486967" w:rsidRPr="00486967">
              <w:rPr>
                <w:rFonts w:ascii="Arial" w:hAnsi="Arial" w:cs="Arial"/>
                <w:highlight w:val="yellow"/>
              </w:rPr>
              <w:t>, St. Charles</w:t>
            </w:r>
          </w:p>
        </w:tc>
        <w:tc>
          <w:tcPr>
            <w:tcW w:w="2880" w:type="dxa"/>
            <w:vAlign w:val="center"/>
          </w:tcPr>
          <w:p w:rsidR="00045B21" w:rsidRPr="00572668" w:rsidRDefault="00045B21" w:rsidP="007340F4">
            <w:pPr>
              <w:spacing w:after="0" w:line="240" w:lineRule="auto"/>
              <w:jc w:val="center"/>
              <w:rPr>
                <w:rFonts w:ascii="Arial" w:hAnsi="Arial" w:cs="Arial"/>
              </w:rPr>
            </w:pPr>
            <w:r w:rsidRPr="00572668">
              <w:rPr>
                <w:rFonts w:ascii="Arial" w:hAnsi="Arial" w:cs="Arial"/>
              </w:rPr>
              <w:t>$2</w:t>
            </w:r>
            <w:r w:rsidR="007340F4">
              <w:rPr>
                <w:rFonts w:ascii="Arial" w:hAnsi="Arial" w:cs="Arial"/>
              </w:rPr>
              <w:t>75</w:t>
            </w:r>
            <w:r w:rsidRPr="00572668">
              <w:rPr>
                <w:rFonts w:ascii="Arial" w:hAnsi="Arial" w:cs="Arial"/>
              </w:rPr>
              <w:t>,000 MMG</w:t>
            </w:r>
          </w:p>
        </w:tc>
      </w:tr>
      <w:tr w:rsidR="00045B21" w:rsidRPr="00AD5277" w:rsidTr="00572668">
        <w:trPr>
          <w:cantSplit/>
          <w:trHeight w:val="887"/>
        </w:trPr>
        <w:tc>
          <w:tcPr>
            <w:tcW w:w="1795" w:type="dxa"/>
            <w:shd w:val="clear" w:color="auto" w:fill="E0E0E0"/>
            <w:vAlign w:val="center"/>
          </w:tcPr>
          <w:p w:rsidR="00045B21" w:rsidRPr="00AD5277" w:rsidRDefault="00045B21" w:rsidP="00AD5277">
            <w:pPr>
              <w:spacing w:after="0" w:line="240" w:lineRule="auto"/>
              <w:jc w:val="center"/>
              <w:rPr>
                <w:rFonts w:ascii="Arial" w:hAnsi="Arial" w:cs="Arial"/>
              </w:rPr>
            </w:pPr>
            <w:r w:rsidRPr="00AD5277">
              <w:rPr>
                <w:rFonts w:ascii="Arial" w:hAnsi="Arial" w:cs="Arial"/>
                <w:b/>
                <w:bCs/>
              </w:rPr>
              <w:t>4</w:t>
            </w:r>
          </w:p>
        </w:tc>
        <w:tc>
          <w:tcPr>
            <w:tcW w:w="5520" w:type="dxa"/>
            <w:vAlign w:val="center"/>
          </w:tcPr>
          <w:p w:rsidR="00045B21" w:rsidRPr="00AD5277" w:rsidRDefault="00045B21" w:rsidP="00572668">
            <w:pPr>
              <w:spacing w:after="0" w:line="240" w:lineRule="auto"/>
              <w:rPr>
                <w:rFonts w:ascii="Arial" w:hAnsi="Arial" w:cs="Arial"/>
              </w:rPr>
            </w:pPr>
            <w:r w:rsidRPr="00CE484E">
              <w:rPr>
                <w:rFonts w:ascii="Arial" w:hAnsi="Arial" w:cs="Arial"/>
                <w:highlight w:val="yellow"/>
              </w:rPr>
              <w:t>Buchanan,</w:t>
            </w:r>
            <w:r w:rsidRPr="00AD5277">
              <w:rPr>
                <w:rFonts w:ascii="Arial" w:hAnsi="Arial" w:cs="Arial"/>
              </w:rPr>
              <w:t xml:space="preserve"> </w:t>
            </w:r>
            <w:r w:rsidR="00CE484E">
              <w:rPr>
                <w:rFonts w:ascii="Arial" w:hAnsi="Arial" w:cs="Arial"/>
              </w:rPr>
              <w:t xml:space="preserve">Barry, </w:t>
            </w:r>
            <w:r w:rsidRPr="00AD5277">
              <w:rPr>
                <w:rFonts w:ascii="Arial" w:hAnsi="Arial" w:cs="Arial"/>
              </w:rPr>
              <w:t xml:space="preserve">Butler, </w:t>
            </w:r>
            <w:r w:rsidR="007340F4" w:rsidRPr="00CE484E">
              <w:rPr>
                <w:rFonts w:ascii="Arial" w:hAnsi="Arial" w:cs="Arial"/>
                <w:highlight w:val="yellow"/>
              </w:rPr>
              <w:t xml:space="preserve"> Cape Girardeau,</w:t>
            </w:r>
            <w:r w:rsidR="007340F4" w:rsidRPr="007340F4">
              <w:rPr>
                <w:rFonts w:ascii="Arial" w:hAnsi="Arial" w:cs="Arial"/>
              </w:rPr>
              <w:t xml:space="preserve"> </w:t>
            </w:r>
            <w:r w:rsidRPr="00AD5277">
              <w:rPr>
                <w:rFonts w:ascii="Arial" w:hAnsi="Arial" w:cs="Arial"/>
              </w:rPr>
              <w:t xml:space="preserve">Cass, </w:t>
            </w:r>
            <w:r w:rsidRPr="00CE484E">
              <w:rPr>
                <w:rFonts w:ascii="Arial" w:hAnsi="Arial" w:cs="Arial"/>
                <w:highlight w:val="yellow"/>
              </w:rPr>
              <w:t>Cole, Crawford,</w:t>
            </w:r>
            <w:r w:rsidRPr="00AD5277">
              <w:rPr>
                <w:rFonts w:ascii="Arial" w:hAnsi="Arial" w:cs="Arial"/>
              </w:rPr>
              <w:t xml:space="preserve"> </w:t>
            </w:r>
            <w:r w:rsidRPr="00CE484E">
              <w:rPr>
                <w:rFonts w:ascii="Arial" w:hAnsi="Arial" w:cs="Arial"/>
                <w:highlight w:val="yellow"/>
              </w:rPr>
              <w:t>Franklin, Howell, Jasper,</w:t>
            </w:r>
            <w:r w:rsidRPr="00AD5277">
              <w:rPr>
                <w:rFonts w:ascii="Arial" w:hAnsi="Arial" w:cs="Arial"/>
              </w:rPr>
              <w:t xml:space="preserve"> Jefferson, </w:t>
            </w:r>
            <w:r w:rsidRPr="00CE484E">
              <w:rPr>
                <w:rFonts w:ascii="Arial" w:hAnsi="Arial" w:cs="Arial"/>
                <w:highlight w:val="yellow"/>
              </w:rPr>
              <w:t>Laclede,</w:t>
            </w:r>
            <w:r w:rsidRPr="00AD5277">
              <w:rPr>
                <w:rFonts w:ascii="Arial" w:hAnsi="Arial" w:cs="Arial"/>
              </w:rPr>
              <w:t xml:space="preserve"> </w:t>
            </w:r>
            <w:r w:rsidRPr="00CE484E">
              <w:rPr>
                <w:rFonts w:ascii="Arial" w:hAnsi="Arial" w:cs="Arial"/>
                <w:highlight w:val="yellow"/>
              </w:rPr>
              <w:t>Marion/Ralls,</w:t>
            </w:r>
            <w:r w:rsidRPr="00AD5277">
              <w:rPr>
                <w:rFonts w:ascii="Arial" w:hAnsi="Arial" w:cs="Arial"/>
              </w:rPr>
              <w:t xml:space="preserve"> Newton, </w:t>
            </w:r>
            <w:r w:rsidRPr="00CE484E">
              <w:rPr>
                <w:rFonts w:ascii="Arial" w:hAnsi="Arial" w:cs="Arial"/>
                <w:highlight w:val="yellow"/>
              </w:rPr>
              <w:t>Pettis, Phelps, Pulaski,</w:t>
            </w:r>
            <w:r w:rsidRPr="00AD5277">
              <w:rPr>
                <w:rFonts w:ascii="Arial" w:hAnsi="Arial" w:cs="Arial"/>
              </w:rPr>
              <w:t xml:space="preserve"> St. Francois</w:t>
            </w:r>
          </w:p>
        </w:tc>
        <w:tc>
          <w:tcPr>
            <w:tcW w:w="2880" w:type="dxa"/>
            <w:vAlign w:val="center"/>
          </w:tcPr>
          <w:p w:rsidR="00045B21" w:rsidRPr="00572668" w:rsidRDefault="00045B21" w:rsidP="007340F4">
            <w:pPr>
              <w:spacing w:after="0" w:line="240" w:lineRule="auto"/>
              <w:jc w:val="center"/>
              <w:rPr>
                <w:rFonts w:ascii="Arial" w:hAnsi="Arial" w:cs="Arial"/>
              </w:rPr>
            </w:pPr>
            <w:r w:rsidRPr="00572668">
              <w:rPr>
                <w:rFonts w:ascii="Arial" w:hAnsi="Arial" w:cs="Arial"/>
              </w:rPr>
              <w:t>$7</w:t>
            </w:r>
            <w:r w:rsidR="007340F4">
              <w:rPr>
                <w:rFonts w:ascii="Arial" w:hAnsi="Arial" w:cs="Arial"/>
              </w:rPr>
              <w:t>0</w:t>
            </w:r>
            <w:r w:rsidRPr="00572668">
              <w:rPr>
                <w:rFonts w:ascii="Arial" w:hAnsi="Arial" w:cs="Arial"/>
              </w:rPr>
              <w:t>,000 MMG</w:t>
            </w:r>
          </w:p>
        </w:tc>
      </w:tr>
      <w:tr w:rsidR="00045B21" w:rsidRPr="00AD5277" w:rsidTr="00572668">
        <w:trPr>
          <w:trHeight w:val="383"/>
        </w:trPr>
        <w:tc>
          <w:tcPr>
            <w:tcW w:w="1795" w:type="dxa"/>
            <w:shd w:val="clear" w:color="auto" w:fill="E0E0E0"/>
            <w:vAlign w:val="center"/>
          </w:tcPr>
          <w:p w:rsidR="00045B21" w:rsidRPr="00AD5277" w:rsidRDefault="00045B21" w:rsidP="00AD5277">
            <w:pPr>
              <w:spacing w:after="0" w:line="240" w:lineRule="auto"/>
              <w:jc w:val="center"/>
              <w:rPr>
                <w:rFonts w:ascii="Arial" w:hAnsi="Arial" w:cs="Arial"/>
              </w:rPr>
            </w:pPr>
            <w:r w:rsidRPr="00AD5277">
              <w:rPr>
                <w:rFonts w:ascii="Arial" w:hAnsi="Arial" w:cs="Arial"/>
                <w:b/>
                <w:bCs/>
              </w:rPr>
              <w:t>3</w:t>
            </w:r>
          </w:p>
        </w:tc>
        <w:tc>
          <w:tcPr>
            <w:tcW w:w="5520" w:type="dxa"/>
            <w:vAlign w:val="center"/>
          </w:tcPr>
          <w:p w:rsidR="00045B21" w:rsidRPr="00AD5277" w:rsidRDefault="00045B21" w:rsidP="00AD5277">
            <w:pPr>
              <w:spacing w:after="0" w:line="240" w:lineRule="auto"/>
              <w:rPr>
                <w:rFonts w:ascii="Arial" w:hAnsi="Arial" w:cs="Arial"/>
              </w:rPr>
            </w:pPr>
            <w:r w:rsidRPr="00CE484E">
              <w:rPr>
                <w:rFonts w:ascii="Arial" w:hAnsi="Arial" w:cs="Arial"/>
                <w:highlight w:val="yellow"/>
              </w:rPr>
              <w:t>Henry,</w:t>
            </w:r>
            <w:r w:rsidRPr="00AD5277">
              <w:rPr>
                <w:rFonts w:ascii="Arial" w:hAnsi="Arial" w:cs="Arial"/>
              </w:rPr>
              <w:t xml:space="preserve"> Hickory,</w:t>
            </w:r>
            <w:r w:rsidR="00CE484E">
              <w:rPr>
                <w:rFonts w:ascii="Arial" w:hAnsi="Arial" w:cs="Arial"/>
              </w:rPr>
              <w:t xml:space="preserve"> Lincoln,</w:t>
            </w:r>
            <w:r w:rsidRPr="00AD5277">
              <w:rPr>
                <w:rFonts w:ascii="Arial" w:hAnsi="Arial" w:cs="Arial"/>
              </w:rPr>
              <w:t xml:space="preserve"> Ozark, </w:t>
            </w:r>
            <w:r w:rsidRPr="00CE484E">
              <w:rPr>
                <w:rFonts w:ascii="Arial" w:hAnsi="Arial" w:cs="Arial"/>
                <w:highlight w:val="yellow"/>
              </w:rPr>
              <w:t>Randolph, Scott</w:t>
            </w:r>
            <w:r w:rsidRPr="00AD5277">
              <w:rPr>
                <w:rFonts w:ascii="Arial" w:hAnsi="Arial" w:cs="Arial"/>
              </w:rPr>
              <w:t xml:space="preserve"> </w:t>
            </w:r>
          </w:p>
        </w:tc>
        <w:tc>
          <w:tcPr>
            <w:tcW w:w="2880" w:type="dxa"/>
            <w:vAlign w:val="center"/>
          </w:tcPr>
          <w:p w:rsidR="00045B21" w:rsidRPr="00572668" w:rsidRDefault="00045B21" w:rsidP="007340F4">
            <w:pPr>
              <w:spacing w:after="0" w:line="240" w:lineRule="auto"/>
              <w:jc w:val="center"/>
              <w:rPr>
                <w:rFonts w:ascii="Arial" w:hAnsi="Arial" w:cs="Arial"/>
              </w:rPr>
            </w:pPr>
            <w:r w:rsidRPr="00572668">
              <w:rPr>
                <w:rFonts w:ascii="Arial" w:hAnsi="Arial" w:cs="Arial"/>
              </w:rPr>
              <w:t>$2</w:t>
            </w:r>
            <w:r w:rsidR="007340F4">
              <w:rPr>
                <w:rFonts w:ascii="Arial" w:hAnsi="Arial" w:cs="Arial"/>
              </w:rPr>
              <w:t>5</w:t>
            </w:r>
            <w:r w:rsidRPr="00572668">
              <w:rPr>
                <w:rFonts w:ascii="Arial" w:hAnsi="Arial" w:cs="Arial"/>
              </w:rPr>
              <w:t>,000 MMG</w:t>
            </w:r>
          </w:p>
        </w:tc>
      </w:tr>
      <w:tr w:rsidR="00045B21" w:rsidRPr="00AD5277" w:rsidTr="00572668">
        <w:trPr>
          <w:cantSplit/>
          <w:trHeight w:val="617"/>
        </w:trPr>
        <w:tc>
          <w:tcPr>
            <w:tcW w:w="1795" w:type="dxa"/>
            <w:shd w:val="clear" w:color="auto" w:fill="E0E0E0"/>
            <w:vAlign w:val="center"/>
          </w:tcPr>
          <w:p w:rsidR="00045B21" w:rsidRPr="00AD5277" w:rsidRDefault="00045B21" w:rsidP="00AD5277">
            <w:pPr>
              <w:spacing w:after="0" w:line="240" w:lineRule="auto"/>
              <w:jc w:val="center"/>
              <w:rPr>
                <w:rFonts w:ascii="Arial" w:hAnsi="Arial" w:cs="Arial"/>
              </w:rPr>
            </w:pPr>
            <w:r w:rsidRPr="00AD5277">
              <w:rPr>
                <w:rFonts w:ascii="Arial" w:hAnsi="Arial" w:cs="Arial"/>
                <w:b/>
                <w:bCs/>
              </w:rPr>
              <w:t>2</w:t>
            </w:r>
          </w:p>
        </w:tc>
        <w:tc>
          <w:tcPr>
            <w:tcW w:w="5520" w:type="dxa"/>
            <w:vAlign w:val="center"/>
          </w:tcPr>
          <w:p w:rsidR="00045B21" w:rsidRPr="00AD5277" w:rsidRDefault="00045B21" w:rsidP="00486967">
            <w:pPr>
              <w:spacing w:after="0" w:line="240" w:lineRule="auto"/>
              <w:rPr>
                <w:rFonts w:ascii="Arial" w:hAnsi="Arial" w:cs="Arial"/>
              </w:rPr>
            </w:pPr>
            <w:r w:rsidRPr="00CE484E">
              <w:rPr>
                <w:rFonts w:ascii="Arial" w:hAnsi="Arial" w:cs="Arial"/>
                <w:highlight w:val="yellow"/>
              </w:rPr>
              <w:t xml:space="preserve">Adair, Callaway, </w:t>
            </w:r>
            <w:r w:rsidR="00CE484E" w:rsidRPr="00CE484E">
              <w:rPr>
                <w:rFonts w:ascii="Arial" w:hAnsi="Arial" w:cs="Arial"/>
                <w:highlight w:val="yellow"/>
              </w:rPr>
              <w:t>Cooper,</w:t>
            </w:r>
            <w:r w:rsidR="00CE484E">
              <w:rPr>
                <w:rFonts w:ascii="Arial" w:hAnsi="Arial" w:cs="Arial"/>
              </w:rPr>
              <w:t xml:space="preserve"> </w:t>
            </w:r>
            <w:r w:rsidRPr="00AD5277">
              <w:rPr>
                <w:rFonts w:ascii="Arial" w:hAnsi="Arial" w:cs="Arial"/>
              </w:rPr>
              <w:t xml:space="preserve">Dallas, Dent, </w:t>
            </w:r>
            <w:r w:rsidR="00CE484E" w:rsidRPr="00CE484E">
              <w:rPr>
                <w:rFonts w:ascii="Arial" w:hAnsi="Arial" w:cs="Arial"/>
                <w:highlight w:val="yellow"/>
              </w:rPr>
              <w:t xml:space="preserve">Dunklin, </w:t>
            </w:r>
            <w:r w:rsidRPr="00CE484E">
              <w:rPr>
                <w:rFonts w:ascii="Arial" w:hAnsi="Arial" w:cs="Arial"/>
                <w:highlight w:val="yellow"/>
              </w:rPr>
              <w:t>Johnson,</w:t>
            </w:r>
            <w:r w:rsidRPr="00AD5277">
              <w:rPr>
                <w:rFonts w:ascii="Arial" w:hAnsi="Arial" w:cs="Arial"/>
              </w:rPr>
              <w:t xml:space="preserve"> McDonald, New Madrid,</w:t>
            </w:r>
            <w:r w:rsidR="00CE484E">
              <w:rPr>
                <w:rFonts w:ascii="Arial" w:hAnsi="Arial" w:cs="Arial"/>
              </w:rPr>
              <w:t xml:space="preserve"> </w:t>
            </w:r>
            <w:r w:rsidRPr="00AD5277">
              <w:rPr>
                <w:rFonts w:ascii="Arial" w:hAnsi="Arial" w:cs="Arial"/>
              </w:rPr>
              <w:t xml:space="preserve">Reynolds </w:t>
            </w:r>
          </w:p>
        </w:tc>
        <w:tc>
          <w:tcPr>
            <w:tcW w:w="2880" w:type="dxa"/>
            <w:vAlign w:val="center"/>
          </w:tcPr>
          <w:p w:rsidR="00045B21" w:rsidRPr="00572668" w:rsidRDefault="00045B21" w:rsidP="007340F4">
            <w:pPr>
              <w:spacing w:after="0" w:line="240" w:lineRule="auto"/>
              <w:jc w:val="center"/>
              <w:rPr>
                <w:rFonts w:ascii="Arial" w:hAnsi="Arial" w:cs="Arial"/>
              </w:rPr>
            </w:pPr>
            <w:r w:rsidRPr="00572668">
              <w:rPr>
                <w:rFonts w:ascii="Arial" w:hAnsi="Arial" w:cs="Arial"/>
              </w:rPr>
              <w:t>$12,</w:t>
            </w:r>
            <w:r w:rsidR="007340F4">
              <w:rPr>
                <w:rFonts w:ascii="Arial" w:hAnsi="Arial" w:cs="Arial"/>
              </w:rPr>
              <w:t>0</w:t>
            </w:r>
            <w:r w:rsidRPr="00572668">
              <w:rPr>
                <w:rFonts w:ascii="Arial" w:hAnsi="Arial" w:cs="Arial"/>
              </w:rPr>
              <w:t>00 MMG</w:t>
            </w:r>
          </w:p>
        </w:tc>
      </w:tr>
      <w:tr w:rsidR="00045B21" w:rsidRPr="00AD5277" w:rsidTr="00572668">
        <w:trPr>
          <w:cantSplit/>
          <w:trHeight w:val="3218"/>
        </w:trPr>
        <w:tc>
          <w:tcPr>
            <w:tcW w:w="1795" w:type="dxa"/>
            <w:shd w:val="clear" w:color="auto" w:fill="E0E0E0"/>
            <w:vAlign w:val="center"/>
          </w:tcPr>
          <w:p w:rsidR="00045B21" w:rsidRPr="00AD5277" w:rsidRDefault="00045B21" w:rsidP="00AD5277">
            <w:pPr>
              <w:spacing w:after="0" w:line="240" w:lineRule="auto"/>
              <w:jc w:val="center"/>
              <w:rPr>
                <w:rFonts w:ascii="Arial" w:hAnsi="Arial" w:cs="Arial"/>
                <w:b/>
                <w:bCs/>
              </w:rPr>
            </w:pPr>
            <w:r w:rsidRPr="00AD5277">
              <w:rPr>
                <w:rFonts w:ascii="Arial" w:hAnsi="Arial" w:cs="Arial"/>
                <w:b/>
                <w:bCs/>
              </w:rPr>
              <w:t>1</w:t>
            </w:r>
          </w:p>
          <w:p w:rsidR="00045B21" w:rsidRPr="00AD5277" w:rsidRDefault="00045B21" w:rsidP="00AD5277">
            <w:pPr>
              <w:spacing w:after="0" w:line="240" w:lineRule="auto"/>
              <w:jc w:val="center"/>
              <w:rPr>
                <w:rFonts w:ascii="Arial" w:hAnsi="Arial" w:cs="Arial"/>
                <w:b/>
                <w:bCs/>
              </w:rPr>
            </w:pPr>
          </w:p>
          <w:p w:rsidR="00045B21" w:rsidRPr="00AD5277" w:rsidRDefault="00045B21" w:rsidP="00AD5277">
            <w:pPr>
              <w:spacing w:after="0" w:line="240" w:lineRule="auto"/>
              <w:jc w:val="center"/>
              <w:rPr>
                <w:rFonts w:ascii="Arial" w:hAnsi="Arial" w:cs="Arial"/>
                <w:b/>
                <w:bCs/>
              </w:rPr>
            </w:pPr>
          </w:p>
          <w:p w:rsidR="00045B21" w:rsidRPr="00AD5277" w:rsidRDefault="00045B21" w:rsidP="00AD5277">
            <w:pPr>
              <w:spacing w:after="0" w:line="240" w:lineRule="auto"/>
              <w:jc w:val="center"/>
              <w:rPr>
                <w:rFonts w:ascii="Arial" w:hAnsi="Arial" w:cs="Arial"/>
                <w:b/>
                <w:bCs/>
              </w:rPr>
            </w:pPr>
          </w:p>
          <w:p w:rsidR="00045B21" w:rsidRPr="00AD5277" w:rsidRDefault="00045B21" w:rsidP="00AD5277">
            <w:pPr>
              <w:spacing w:after="0" w:line="240" w:lineRule="auto"/>
              <w:jc w:val="center"/>
              <w:rPr>
                <w:rFonts w:ascii="Arial" w:hAnsi="Arial" w:cs="Arial"/>
                <w:b/>
                <w:bCs/>
              </w:rPr>
            </w:pPr>
          </w:p>
          <w:p w:rsidR="00045B21" w:rsidRPr="00AD5277" w:rsidRDefault="00045B21" w:rsidP="00AD5277">
            <w:pPr>
              <w:spacing w:after="0" w:line="240" w:lineRule="auto"/>
              <w:jc w:val="center"/>
              <w:rPr>
                <w:rFonts w:ascii="Arial" w:hAnsi="Arial" w:cs="Arial"/>
              </w:rPr>
            </w:pPr>
          </w:p>
        </w:tc>
        <w:tc>
          <w:tcPr>
            <w:tcW w:w="5520" w:type="dxa"/>
            <w:vAlign w:val="center"/>
          </w:tcPr>
          <w:p w:rsidR="00045B21" w:rsidRPr="00AD5277" w:rsidRDefault="00045B21" w:rsidP="00CE484E">
            <w:pPr>
              <w:spacing w:after="0" w:line="240" w:lineRule="auto"/>
              <w:rPr>
                <w:rFonts w:ascii="Arial" w:hAnsi="Arial" w:cs="Arial"/>
              </w:rPr>
            </w:pPr>
            <w:r w:rsidRPr="00AD5277">
              <w:rPr>
                <w:rFonts w:ascii="Arial" w:hAnsi="Arial" w:cs="Arial"/>
              </w:rPr>
              <w:t xml:space="preserve">Andrew, Atchison,  Audrain,  Barton, Bates, </w:t>
            </w:r>
            <w:r w:rsidRPr="00CE484E">
              <w:rPr>
                <w:rFonts w:ascii="Arial" w:hAnsi="Arial" w:cs="Arial"/>
                <w:highlight w:val="yellow"/>
              </w:rPr>
              <w:t>Benton,</w:t>
            </w:r>
            <w:r w:rsidRPr="00AD5277">
              <w:rPr>
                <w:rFonts w:ascii="Arial" w:hAnsi="Arial" w:cs="Arial"/>
              </w:rPr>
              <w:t xml:space="preserve"> Bollinger, Caldwell, Carroll, Carter,  Cedar, Chariton, Clark, Clinton, </w:t>
            </w:r>
            <w:r w:rsidR="00ED066C" w:rsidRPr="00ED066C">
              <w:rPr>
                <w:rFonts w:ascii="Arial" w:hAnsi="Arial" w:cs="Arial"/>
                <w:highlight w:val="yellow"/>
              </w:rPr>
              <w:t>Cooper,</w:t>
            </w:r>
            <w:r w:rsidRPr="00AD5277">
              <w:rPr>
                <w:rFonts w:ascii="Arial" w:hAnsi="Arial" w:cs="Arial"/>
              </w:rPr>
              <w:t xml:space="preserve"> Dade, Daviess, DeKalb, Douglas, </w:t>
            </w:r>
            <w:r w:rsidRPr="00CE484E">
              <w:rPr>
                <w:rFonts w:ascii="Arial" w:hAnsi="Arial" w:cs="Arial"/>
                <w:highlight w:val="yellow"/>
              </w:rPr>
              <w:t>Gasconade,</w:t>
            </w:r>
            <w:r w:rsidRPr="00AD5277">
              <w:rPr>
                <w:rFonts w:ascii="Arial" w:hAnsi="Arial" w:cs="Arial"/>
              </w:rPr>
              <w:t xml:space="preserve"> Gentry, Grundy, Harrison, Holt, Howard, Iron, Knox, </w:t>
            </w:r>
            <w:r w:rsidRPr="00CE484E">
              <w:rPr>
                <w:rFonts w:ascii="Arial" w:hAnsi="Arial" w:cs="Arial"/>
                <w:highlight w:val="yellow"/>
              </w:rPr>
              <w:t>Lafayette,</w:t>
            </w:r>
            <w:r w:rsidRPr="00AD5277">
              <w:rPr>
                <w:rFonts w:ascii="Arial" w:hAnsi="Arial" w:cs="Arial"/>
              </w:rPr>
              <w:t xml:space="preserve">  Lawrence, Lewis, Linn, Livingston,  Macon, Madison, Maries, Mercer, Mississippi, Moniteau, Monroe, Montgomery,  Nodaway, Oregon, Osage, Pemiscot, </w:t>
            </w:r>
            <w:r w:rsidR="00486967" w:rsidRPr="00CE484E">
              <w:rPr>
                <w:rFonts w:ascii="Arial" w:hAnsi="Arial" w:cs="Arial"/>
                <w:highlight w:val="yellow"/>
              </w:rPr>
              <w:t xml:space="preserve"> Perry</w:t>
            </w:r>
            <w:r w:rsidR="00486967" w:rsidRPr="00486967">
              <w:rPr>
                <w:rFonts w:ascii="Arial" w:hAnsi="Arial" w:cs="Arial"/>
                <w:highlight w:val="yellow"/>
              </w:rPr>
              <w:t xml:space="preserve">, </w:t>
            </w:r>
            <w:r w:rsidRPr="00486967">
              <w:rPr>
                <w:rFonts w:ascii="Arial" w:hAnsi="Arial" w:cs="Arial"/>
                <w:highlight w:val="yellow"/>
              </w:rPr>
              <w:t xml:space="preserve"> Pike</w:t>
            </w:r>
            <w:r w:rsidRPr="00CE484E">
              <w:rPr>
                <w:rFonts w:ascii="Arial" w:hAnsi="Arial" w:cs="Arial"/>
                <w:highlight w:val="yellow"/>
              </w:rPr>
              <w:t>,</w:t>
            </w:r>
            <w:r w:rsidRPr="00AD5277">
              <w:rPr>
                <w:rFonts w:ascii="Arial" w:hAnsi="Arial" w:cs="Arial"/>
              </w:rPr>
              <w:t xml:space="preserve"> Putnam, Ray, Ripley</w:t>
            </w:r>
            <w:r w:rsidRPr="000D3CF5">
              <w:rPr>
                <w:rFonts w:ascii="Arial" w:hAnsi="Arial" w:cs="Arial"/>
              </w:rPr>
              <w:t>,  Saline,</w:t>
            </w:r>
            <w:r w:rsidRPr="00AD5277">
              <w:rPr>
                <w:rFonts w:ascii="Arial" w:hAnsi="Arial" w:cs="Arial"/>
              </w:rPr>
              <w:t xml:space="preserve"> Schuyler, Scotland,  Shannon, Shelby, St. Clair,  </w:t>
            </w:r>
            <w:r w:rsidRPr="00CE484E">
              <w:rPr>
                <w:rFonts w:ascii="Arial" w:hAnsi="Arial" w:cs="Arial"/>
                <w:highlight w:val="yellow"/>
              </w:rPr>
              <w:t>Ste. Genevieve,</w:t>
            </w:r>
            <w:r w:rsidRPr="00AD5277">
              <w:rPr>
                <w:rFonts w:ascii="Arial" w:hAnsi="Arial" w:cs="Arial"/>
              </w:rPr>
              <w:t xml:space="preserve">  Stoddard, Sullivan, Texas, Vernon, </w:t>
            </w:r>
            <w:r w:rsidR="00CE484E">
              <w:rPr>
                <w:rFonts w:ascii="Arial" w:hAnsi="Arial" w:cs="Arial"/>
              </w:rPr>
              <w:t xml:space="preserve">Warren, </w:t>
            </w:r>
            <w:r w:rsidRPr="00AD5277">
              <w:rPr>
                <w:rFonts w:ascii="Arial" w:hAnsi="Arial" w:cs="Arial"/>
              </w:rPr>
              <w:t xml:space="preserve">Washington, Wayne,  Webster, Worth, Wright </w:t>
            </w:r>
          </w:p>
        </w:tc>
        <w:tc>
          <w:tcPr>
            <w:tcW w:w="2880" w:type="dxa"/>
            <w:vAlign w:val="center"/>
          </w:tcPr>
          <w:p w:rsidR="00045B21" w:rsidRPr="00572668" w:rsidRDefault="00045B21" w:rsidP="007340F4">
            <w:pPr>
              <w:spacing w:after="0" w:line="240" w:lineRule="auto"/>
              <w:jc w:val="center"/>
              <w:rPr>
                <w:rFonts w:ascii="Arial" w:hAnsi="Arial" w:cs="Arial"/>
              </w:rPr>
            </w:pPr>
            <w:r w:rsidRPr="00572668">
              <w:rPr>
                <w:rFonts w:ascii="Arial" w:hAnsi="Arial" w:cs="Arial"/>
              </w:rPr>
              <w:t>$6,</w:t>
            </w:r>
            <w:r w:rsidR="007340F4">
              <w:rPr>
                <w:rFonts w:ascii="Arial" w:hAnsi="Arial" w:cs="Arial"/>
              </w:rPr>
              <w:t>0</w:t>
            </w:r>
            <w:r w:rsidRPr="00572668">
              <w:rPr>
                <w:rFonts w:ascii="Arial" w:hAnsi="Arial" w:cs="Arial"/>
              </w:rPr>
              <w:t>00 MMG</w:t>
            </w:r>
          </w:p>
        </w:tc>
      </w:tr>
    </w:tbl>
    <w:p w:rsidR="00960D8C" w:rsidRPr="00ED3A25" w:rsidRDefault="00960D8C" w:rsidP="00AD5277">
      <w:pPr>
        <w:spacing w:after="0" w:line="240" w:lineRule="auto"/>
        <w:rPr>
          <w:rFonts w:ascii="Arial" w:hAnsi="Arial" w:cs="Arial"/>
          <w:b/>
          <w:sz w:val="24"/>
          <w:szCs w:val="24"/>
          <w:u w:val="single"/>
        </w:rPr>
      </w:pPr>
    </w:p>
    <w:p w:rsidR="009368DC" w:rsidRDefault="009368DC" w:rsidP="00AD5277">
      <w:pPr>
        <w:spacing w:after="0" w:line="240" w:lineRule="auto"/>
        <w:rPr>
          <w:rFonts w:ascii="Arial" w:hAnsi="Arial" w:cs="Arial"/>
          <w:b/>
          <w:sz w:val="24"/>
          <w:szCs w:val="24"/>
          <w:u w:val="single"/>
        </w:rPr>
      </w:pPr>
    </w:p>
    <w:p w:rsidR="002164F0" w:rsidRPr="00AD5277" w:rsidRDefault="00AD5277" w:rsidP="00AD5277">
      <w:pPr>
        <w:spacing w:after="0" w:line="240" w:lineRule="auto"/>
        <w:rPr>
          <w:rFonts w:ascii="Arial" w:hAnsi="Arial" w:cs="Arial"/>
          <w:b/>
          <w:sz w:val="24"/>
          <w:szCs w:val="24"/>
          <w:u w:val="single"/>
        </w:rPr>
      </w:pPr>
      <w:r w:rsidRPr="00AD5277">
        <w:rPr>
          <w:rFonts w:ascii="Arial" w:hAnsi="Arial" w:cs="Arial"/>
          <w:b/>
          <w:sz w:val="24"/>
          <w:szCs w:val="24"/>
          <w:u w:val="single"/>
        </w:rPr>
        <w:t>MMG Requirements</w:t>
      </w:r>
    </w:p>
    <w:p w:rsidR="00AD5277" w:rsidRPr="00ED3A25" w:rsidRDefault="00AD5277" w:rsidP="00AD5277">
      <w:pPr>
        <w:spacing w:after="0" w:line="240" w:lineRule="auto"/>
        <w:rPr>
          <w:rFonts w:ascii="Arial" w:hAnsi="Arial" w:cs="Arial"/>
          <w:sz w:val="16"/>
          <w:szCs w:val="16"/>
          <w:u w:val="single"/>
        </w:rPr>
      </w:pPr>
    </w:p>
    <w:p w:rsidR="0041171F" w:rsidRPr="00AD5277" w:rsidRDefault="0041171F" w:rsidP="00AD5277">
      <w:pPr>
        <w:spacing w:after="0" w:line="240" w:lineRule="auto"/>
        <w:rPr>
          <w:rFonts w:ascii="Arial" w:hAnsi="Arial" w:cs="Arial"/>
          <w:b/>
          <w:sz w:val="24"/>
          <w:szCs w:val="24"/>
        </w:rPr>
      </w:pPr>
      <w:r w:rsidRPr="00AD5277">
        <w:rPr>
          <w:rFonts w:ascii="Arial" w:hAnsi="Arial" w:cs="Arial"/>
          <w:b/>
          <w:sz w:val="24"/>
          <w:szCs w:val="24"/>
        </w:rPr>
        <w:t xml:space="preserve">Project Modifications </w:t>
      </w:r>
    </w:p>
    <w:p w:rsidR="0041171F" w:rsidRDefault="00A51964" w:rsidP="00AD5277">
      <w:pPr>
        <w:spacing w:after="0" w:line="240" w:lineRule="auto"/>
        <w:rPr>
          <w:rFonts w:ascii="Arial" w:hAnsi="Arial" w:cs="Arial"/>
        </w:rPr>
      </w:pPr>
      <w:r w:rsidRPr="00AD5277">
        <w:rPr>
          <w:rFonts w:ascii="Arial" w:hAnsi="Arial" w:cs="Arial"/>
        </w:rPr>
        <w:t>Any ch</w:t>
      </w:r>
      <w:r w:rsidR="00FD6342" w:rsidRPr="00AD5277">
        <w:rPr>
          <w:rFonts w:ascii="Arial" w:hAnsi="Arial" w:cs="Arial"/>
        </w:rPr>
        <w:t xml:space="preserve">ange to the </w:t>
      </w:r>
      <w:r w:rsidR="00B86BC7">
        <w:rPr>
          <w:rFonts w:ascii="Arial" w:hAnsi="Arial" w:cs="Arial"/>
        </w:rPr>
        <w:t xml:space="preserve">approved </w:t>
      </w:r>
      <w:r w:rsidR="00FD6342" w:rsidRPr="00AD5277">
        <w:rPr>
          <w:rFonts w:ascii="Arial" w:hAnsi="Arial" w:cs="Arial"/>
        </w:rPr>
        <w:t>media plan require</w:t>
      </w:r>
      <w:r w:rsidR="00B86BC7">
        <w:rPr>
          <w:rFonts w:ascii="Arial" w:hAnsi="Arial" w:cs="Arial"/>
        </w:rPr>
        <w:t>s</w:t>
      </w:r>
      <w:r w:rsidRPr="00AD5277">
        <w:rPr>
          <w:rFonts w:ascii="Arial" w:hAnsi="Arial" w:cs="Arial"/>
        </w:rPr>
        <w:t xml:space="preserve"> a new budget grid be submitted and approved by MDT. When releasing funds</w:t>
      </w:r>
      <w:r w:rsidR="00A27CB2" w:rsidRPr="00AD5277">
        <w:rPr>
          <w:rFonts w:ascii="Arial" w:hAnsi="Arial" w:cs="Arial"/>
        </w:rPr>
        <w:t xml:space="preserve"> and/or revising your budget</w:t>
      </w:r>
      <w:r w:rsidRPr="00AD5277">
        <w:rPr>
          <w:rFonts w:ascii="Arial" w:hAnsi="Arial" w:cs="Arial"/>
        </w:rPr>
        <w:t xml:space="preserve">, the DMO must </w:t>
      </w:r>
      <w:r w:rsidR="00A27CB2" w:rsidRPr="00AD5277">
        <w:rPr>
          <w:rFonts w:ascii="Arial" w:hAnsi="Arial" w:cs="Arial"/>
        </w:rPr>
        <w:t>submit</w:t>
      </w:r>
      <w:r w:rsidRPr="00AD5277">
        <w:rPr>
          <w:rFonts w:ascii="Arial" w:hAnsi="Arial" w:cs="Arial"/>
        </w:rPr>
        <w:t xml:space="preserve"> a “Request </w:t>
      </w:r>
      <w:r w:rsidR="00A27CB2" w:rsidRPr="00AD5277">
        <w:rPr>
          <w:rFonts w:ascii="Arial" w:hAnsi="Arial" w:cs="Arial"/>
        </w:rPr>
        <w:t>for Revised Budget” form to MDT. If changes to the project exceed the total grant award, the DMO must incur those</w:t>
      </w:r>
      <w:r w:rsidR="007C2D7B" w:rsidRPr="00AD5277">
        <w:rPr>
          <w:rFonts w:ascii="Arial" w:hAnsi="Arial" w:cs="Arial"/>
        </w:rPr>
        <w:t xml:space="preserve"> excess</w:t>
      </w:r>
      <w:r w:rsidR="00A27CB2" w:rsidRPr="00AD5277">
        <w:rPr>
          <w:rFonts w:ascii="Arial" w:hAnsi="Arial" w:cs="Arial"/>
        </w:rPr>
        <w:t xml:space="preserve"> expenses. </w:t>
      </w:r>
      <w:r w:rsidR="00A3097A" w:rsidRPr="00AD5277">
        <w:rPr>
          <w:rFonts w:ascii="Arial" w:hAnsi="Arial" w:cs="Arial"/>
        </w:rPr>
        <w:t xml:space="preserve">The Request for Revised Budget is available on the website. </w:t>
      </w:r>
    </w:p>
    <w:p w:rsidR="00572668" w:rsidRPr="00ED3A25" w:rsidRDefault="00572668" w:rsidP="00AD5277">
      <w:pPr>
        <w:spacing w:after="0" w:line="240" w:lineRule="auto"/>
        <w:rPr>
          <w:rFonts w:ascii="Arial" w:hAnsi="Arial" w:cs="Arial"/>
          <w:b/>
          <w:sz w:val="16"/>
          <w:szCs w:val="16"/>
        </w:rPr>
      </w:pPr>
    </w:p>
    <w:p w:rsidR="004E4CDF" w:rsidRPr="00AD5277" w:rsidRDefault="00D01CC2" w:rsidP="00AD5277">
      <w:pPr>
        <w:spacing w:after="0" w:line="240" w:lineRule="auto"/>
        <w:rPr>
          <w:rFonts w:ascii="Arial" w:hAnsi="Arial" w:cs="Arial"/>
          <w:b/>
          <w:sz w:val="24"/>
          <w:szCs w:val="24"/>
        </w:rPr>
      </w:pPr>
      <w:r w:rsidRPr="00AD5277">
        <w:rPr>
          <w:rFonts w:ascii="Arial" w:hAnsi="Arial" w:cs="Arial"/>
          <w:b/>
          <w:sz w:val="24"/>
          <w:szCs w:val="24"/>
        </w:rPr>
        <w:t>Marketing Activity</w:t>
      </w:r>
      <w:r w:rsidR="004E4CDF" w:rsidRPr="00AD5277">
        <w:rPr>
          <w:rFonts w:ascii="Arial" w:hAnsi="Arial" w:cs="Arial"/>
          <w:b/>
          <w:sz w:val="24"/>
          <w:szCs w:val="24"/>
        </w:rPr>
        <w:t xml:space="preserve"> Requirements</w:t>
      </w:r>
    </w:p>
    <w:p w:rsidR="00532BDA" w:rsidRPr="00AD5277" w:rsidRDefault="00E944C2" w:rsidP="00AD5277">
      <w:pPr>
        <w:spacing w:after="0" w:line="240" w:lineRule="auto"/>
        <w:rPr>
          <w:rFonts w:ascii="Arial" w:hAnsi="Arial" w:cs="Arial"/>
        </w:rPr>
      </w:pPr>
      <w:r w:rsidRPr="00AD5277">
        <w:rPr>
          <w:rFonts w:ascii="Arial" w:hAnsi="Arial" w:cs="Arial"/>
        </w:rPr>
        <w:t>For eligibility, all marketing activities and components are subject to the following program requirements:</w:t>
      </w:r>
    </w:p>
    <w:p w:rsidR="00532BDA" w:rsidRPr="00AD5277" w:rsidRDefault="00E944C2" w:rsidP="00E328A0">
      <w:pPr>
        <w:pStyle w:val="ListParagraph"/>
        <w:numPr>
          <w:ilvl w:val="0"/>
          <w:numId w:val="3"/>
        </w:numPr>
        <w:spacing w:after="0" w:line="240" w:lineRule="auto"/>
        <w:ind w:hanging="180"/>
        <w:rPr>
          <w:rFonts w:ascii="Arial" w:hAnsi="Arial" w:cs="Arial"/>
          <w:b/>
        </w:rPr>
      </w:pPr>
      <w:r w:rsidRPr="00AD5277">
        <w:rPr>
          <w:rFonts w:ascii="Arial" w:hAnsi="Arial" w:cs="Arial"/>
        </w:rPr>
        <w:t xml:space="preserve">All </w:t>
      </w:r>
      <w:r w:rsidR="00A148F0" w:rsidRPr="00AD5277">
        <w:rPr>
          <w:rFonts w:ascii="Arial" w:hAnsi="Arial" w:cs="Arial"/>
        </w:rPr>
        <w:t xml:space="preserve">funded </w:t>
      </w:r>
      <w:r w:rsidRPr="00AD5277">
        <w:rPr>
          <w:rFonts w:ascii="Arial" w:hAnsi="Arial" w:cs="Arial"/>
        </w:rPr>
        <w:t>marketing activiti</w:t>
      </w:r>
      <w:r w:rsidR="00A3097A" w:rsidRPr="00AD5277">
        <w:rPr>
          <w:rFonts w:ascii="Arial" w:hAnsi="Arial" w:cs="Arial"/>
        </w:rPr>
        <w:t>es must run between July</w:t>
      </w:r>
      <w:r w:rsidR="00D13EAF">
        <w:rPr>
          <w:rFonts w:ascii="Arial" w:hAnsi="Arial" w:cs="Arial"/>
        </w:rPr>
        <w:t xml:space="preserve"> 1</w:t>
      </w:r>
      <w:r w:rsidR="00A3097A" w:rsidRPr="00AD5277">
        <w:rPr>
          <w:rFonts w:ascii="Arial" w:hAnsi="Arial" w:cs="Arial"/>
        </w:rPr>
        <w:t xml:space="preserve"> and June 30 of the fiscal year</w:t>
      </w:r>
      <w:r w:rsidRPr="00AD5277">
        <w:rPr>
          <w:rFonts w:ascii="Arial" w:hAnsi="Arial" w:cs="Arial"/>
        </w:rPr>
        <w:t xml:space="preserve">. Products that fall outside the established fiscal year will not be reimbursed. </w:t>
      </w:r>
    </w:p>
    <w:p w:rsidR="00E944C2" w:rsidRPr="00AD5277" w:rsidRDefault="0067075C" w:rsidP="00E328A0">
      <w:pPr>
        <w:pStyle w:val="ListParagraph"/>
        <w:numPr>
          <w:ilvl w:val="0"/>
          <w:numId w:val="3"/>
        </w:numPr>
        <w:spacing w:after="0" w:line="240" w:lineRule="auto"/>
        <w:ind w:hanging="180"/>
        <w:rPr>
          <w:rFonts w:ascii="Arial" w:hAnsi="Arial" w:cs="Arial"/>
          <w:b/>
        </w:rPr>
      </w:pPr>
      <w:r w:rsidRPr="00AD5277">
        <w:rPr>
          <w:rFonts w:ascii="Arial" w:hAnsi="Arial" w:cs="Arial"/>
        </w:rPr>
        <w:t>Media advert</w:t>
      </w:r>
      <w:r w:rsidR="00D13EAF">
        <w:rPr>
          <w:rFonts w:ascii="Arial" w:hAnsi="Arial" w:cs="Arial"/>
        </w:rPr>
        <w:t>ising may only be placed in MDT-</w:t>
      </w:r>
      <w:r w:rsidRPr="00AD5277">
        <w:rPr>
          <w:rFonts w:ascii="Arial" w:hAnsi="Arial" w:cs="Arial"/>
        </w:rPr>
        <w:t xml:space="preserve">approved markets and media outlets (see Approved Media Markets List for appropriate fiscal year). </w:t>
      </w:r>
    </w:p>
    <w:p w:rsidR="003D0425" w:rsidRPr="00AD5277" w:rsidRDefault="003D0425" w:rsidP="00E328A0">
      <w:pPr>
        <w:pStyle w:val="ListParagraph"/>
        <w:numPr>
          <w:ilvl w:val="0"/>
          <w:numId w:val="3"/>
        </w:numPr>
        <w:spacing w:after="0" w:line="240" w:lineRule="auto"/>
        <w:ind w:hanging="180"/>
        <w:rPr>
          <w:rFonts w:ascii="Arial" w:hAnsi="Arial" w:cs="Arial"/>
          <w:b/>
        </w:rPr>
      </w:pPr>
      <w:r w:rsidRPr="00AD5277">
        <w:rPr>
          <w:rFonts w:ascii="Arial" w:hAnsi="Arial" w:cs="Arial"/>
        </w:rPr>
        <w:t>All ads must promote the destination(s).</w:t>
      </w:r>
      <w:r w:rsidR="00502DFF">
        <w:rPr>
          <w:rFonts w:ascii="Arial" w:hAnsi="Arial" w:cs="Arial"/>
        </w:rPr>
        <w:t xml:space="preserve"> </w:t>
      </w:r>
      <w:r w:rsidR="007340F4">
        <w:rPr>
          <w:rFonts w:ascii="Arial" w:hAnsi="Arial" w:cs="Arial"/>
        </w:rPr>
        <w:t>The only logos or website information allowed are those of the DMO and MDT.</w:t>
      </w:r>
    </w:p>
    <w:p w:rsidR="007A6ED5" w:rsidRPr="00AD5277" w:rsidRDefault="00A148F0" w:rsidP="00E328A0">
      <w:pPr>
        <w:pStyle w:val="ListParagraph"/>
        <w:numPr>
          <w:ilvl w:val="0"/>
          <w:numId w:val="3"/>
        </w:numPr>
        <w:spacing w:after="0" w:line="240" w:lineRule="auto"/>
        <w:ind w:hanging="180"/>
        <w:rPr>
          <w:rFonts w:ascii="Arial" w:hAnsi="Arial" w:cs="Arial"/>
          <w:b/>
        </w:rPr>
      </w:pPr>
      <w:r w:rsidRPr="00AD5277">
        <w:rPr>
          <w:rFonts w:ascii="Arial" w:hAnsi="Arial" w:cs="Arial"/>
        </w:rPr>
        <w:t xml:space="preserve">The distribution of products funded through the PMF program must have a reach that extends beyond </w:t>
      </w:r>
      <w:r w:rsidR="00DB1C04">
        <w:rPr>
          <w:rFonts w:ascii="Arial" w:hAnsi="Arial" w:cs="Arial"/>
        </w:rPr>
        <w:t>50</w:t>
      </w:r>
      <w:r w:rsidRPr="00AD5277">
        <w:rPr>
          <w:rFonts w:ascii="Arial" w:hAnsi="Arial" w:cs="Arial"/>
        </w:rPr>
        <w:t xml:space="preserve"> miles of the advertised destination. </w:t>
      </w:r>
      <w:r w:rsidR="00C414F3" w:rsidRPr="00AD5277">
        <w:rPr>
          <w:rFonts w:ascii="Arial" w:hAnsi="Arial" w:cs="Arial"/>
        </w:rPr>
        <w:t>Websites that represent local TV, radio, newspapers and magazines are considered part of the same Destination Marketing Area (DMA) as their physical counterparts.</w:t>
      </w:r>
    </w:p>
    <w:p w:rsidR="007A6ED5" w:rsidRPr="00AD5277" w:rsidRDefault="00B345CE" w:rsidP="00E328A0">
      <w:pPr>
        <w:pStyle w:val="ListParagraph"/>
        <w:numPr>
          <w:ilvl w:val="0"/>
          <w:numId w:val="3"/>
        </w:numPr>
        <w:spacing w:after="0" w:line="240" w:lineRule="auto"/>
        <w:ind w:hanging="180"/>
        <w:rPr>
          <w:rFonts w:ascii="Arial" w:hAnsi="Arial" w:cs="Arial"/>
          <w:b/>
        </w:rPr>
      </w:pPr>
      <w:r>
        <w:rPr>
          <w:rFonts w:ascii="Arial" w:hAnsi="Arial" w:cs="Arial"/>
        </w:rPr>
        <w:t>If the ad has a</w:t>
      </w:r>
      <w:r w:rsidR="00BD577B" w:rsidRPr="00AD5277">
        <w:rPr>
          <w:rFonts w:ascii="Arial" w:hAnsi="Arial" w:cs="Arial"/>
        </w:rPr>
        <w:t xml:space="preserve"> call to action</w:t>
      </w:r>
      <w:r>
        <w:rPr>
          <w:rFonts w:ascii="Arial" w:hAnsi="Arial" w:cs="Arial"/>
        </w:rPr>
        <w:t>, it</w:t>
      </w:r>
      <w:r w:rsidR="00BD577B" w:rsidRPr="00AD5277">
        <w:rPr>
          <w:rFonts w:ascii="Arial" w:hAnsi="Arial" w:cs="Arial"/>
        </w:rPr>
        <w:t xml:space="preserve"> mus</w:t>
      </w:r>
      <w:r w:rsidR="00A3097A" w:rsidRPr="00AD5277">
        <w:rPr>
          <w:rFonts w:ascii="Arial" w:hAnsi="Arial" w:cs="Arial"/>
        </w:rPr>
        <w:t>t include DMO information only</w:t>
      </w:r>
      <w:r w:rsidR="00BD577B" w:rsidRPr="00AD5277">
        <w:rPr>
          <w:rFonts w:ascii="Arial" w:hAnsi="Arial" w:cs="Arial"/>
        </w:rPr>
        <w:t xml:space="preserve">. Additional web links and/or phone numbers may not be used. </w:t>
      </w:r>
    </w:p>
    <w:p w:rsidR="0041171F" w:rsidRPr="00AD5277" w:rsidRDefault="0041171F" w:rsidP="00E328A0">
      <w:pPr>
        <w:pStyle w:val="ListParagraph"/>
        <w:numPr>
          <w:ilvl w:val="0"/>
          <w:numId w:val="3"/>
        </w:numPr>
        <w:spacing w:after="0" w:line="240" w:lineRule="auto"/>
        <w:ind w:hanging="180"/>
        <w:rPr>
          <w:rFonts w:ascii="Arial" w:hAnsi="Arial" w:cs="Arial"/>
          <w:b/>
        </w:rPr>
      </w:pPr>
      <w:r w:rsidRPr="00AD5277">
        <w:rPr>
          <w:rFonts w:ascii="Arial" w:hAnsi="Arial" w:cs="Arial"/>
        </w:rPr>
        <w:t xml:space="preserve">Funds from other Missouri state sources may </w:t>
      </w:r>
      <w:r w:rsidR="00A3097A" w:rsidRPr="00AD5277">
        <w:rPr>
          <w:rFonts w:ascii="Arial" w:hAnsi="Arial" w:cs="Arial"/>
        </w:rPr>
        <w:t>not be used to satisfy the DMO</w:t>
      </w:r>
      <w:r w:rsidR="00B86BC7">
        <w:rPr>
          <w:rFonts w:ascii="Arial" w:hAnsi="Arial" w:cs="Arial"/>
        </w:rPr>
        <w:t>’</w:t>
      </w:r>
      <w:r w:rsidR="00A3097A" w:rsidRPr="00AD5277">
        <w:rPr>
          <w:rFonts w:ascii="Arial" w:hAnsi="Arial" w:cs="Arial"/>
        </w:rPr>
        <w:t>s</w:t>
      </w:r>
      <w:r w:rsidRPr="00AD5277">
        <w:rPr>
          <w:rFonts w:ascii="Arial" w:hAnsi="Arial" w:cs="Arial"/>
        </w:rPr>
        <w:t xml:space="preserve"> </w:t>
      </w:r>
      <w:r w:rsidR="00B86BC7">
        <w:rPr>
          <w:rFonts w:ascii="Arial" w:hAnsi="Arial" w:cs="Arial"/>
        </w:rPr>
        <w:t xml:space="preserve">local </w:t>
      </w:r>
      <w:r w:rsidRPr="00AD5277">
        <w:rPr>
          <w:rFonts w:ascii="Arial" w:hAnsi="Arial" w:cs="Arial"/>
        </w:rPr>
        <w:t>matching funds obligation.</w:t>
      </w:r>
    </w:p>
    <w:p w:rsidR="00A27CB2" w:rsidRPr="00AD5277" w:rsidRDefault="00A27CB2" w:rsidP="00E328A0">
      <w:pPr>
        <w:pStyle w:val="ListParagraph"/>
        <w:numPr>
          <w:ilvl w:val="0"/>
          <w:numId w:val="3"/>
        </w:numPr>
        <w:spacing w:after="0" w:line="240" w:lineRule="auto"/>
        <w:ind w:hanging="180"/>
        <w:rPr>
          <w:rFonts w:ascii="Arial" w:hAnsi="Arial" w:cs="Arial"/>
          <w:b/>
        </w:rPr>
      </w:pPr>
      <w:r w:rsidRPr="00AD5277">
        <w:rPr>
          <w:rFonts w:ascii="Arial" w:hAnsi="Arial" w:cs="Arial"/>
        </w:rPr>
        <w:t xml:space="preserve">Marketing activities must be completed as approved in the contract or a subsequently approved revision. </w:t>
      </w:r>
    </w:p>
    <w:p w:rsidR="007A6ED5" w:rsidRPr="00ED3A25" w:rsidRDefault="007A6ED5" w:rsidP="00AD5277">
      <w:pPr>
        <w:spacing w:after="0" w:line="240" w:lineRule="auto"/>
        <w:rPr>
          <w:rFonts w:ascii="Arial" w:hAnsi="Arial" w:cs="Arial"/>
          <w:b/>
          <w:sz w:val="16"/>
          <w:szCs w:val="16"/>
        </w:rPr>
      </w:pPr>
    </w:p>
    <w:p w:rsidR="007A6ED5" w:rsidRPr="00AD5277" w:rsidRDefault="007A6ED5" w:rsidP="00AD5277">
      <w:pPr>
        <w:spacing w:after="0" w:line="240" w:lineRule="auto"/>
        <w:rPr>
          <w:rFonts w:ascii="Arial" w:hAnsi="Arial" w:cs="Arial"/>
          <w:b/>
          <w:sz w:val="24"/>
          <w:szCs w:val="24"/>
        </w:rPr>
      </w:pPr>
      <w:r w:rsidRPr="00AD5277">
        <w:rPr>
          <w:rFonts w:ascii="Arial" w:hAnsi="Arial" w:cs="Arial"/>
          <w:b/>
          <w:sz w:val="24"/>
          <w:szCs w:val="24"/>
        </w:rPr>
        <w:lastRenderedPageBreak/>
        <w:t>Logo Usage</w:t>
      </w:r>
    </w:p>
    <w:p w:rsidR="007A6ED5" w:rsidRDefault="007A6ED5" w:rsidP="00AD5277">
      <w:pPr>
        <w:spacing w:after="0" w:line="240" w:lineRule="auto"/>
        <w:rPr>
          <w:rFonts w:ascii="Arial" w:hAnsi="Arial" w:cs="Arial"/>
        </w:rPr>
      </w:pPr>
      <w:r w:rsidRPr="00AD5277">
        <w:rPr>
          <w:rFonts w:ascii="Arial" w:hAnsi="Arial" w:cs="Arial"/>
        </w:rPr>
        <w:t xml:space="preserve">Funded activities must display the official Missouri tourism logo and/or credit line on all funded products, according to the specifications described in the Missouri Style Guide. </w:t>
      </w:r>
      <w:r w:rsidR="00D1685F" w:rsidRPr="00572668">
        <w:rPr>
          <w:rFonts w:ascii="Arial" w:hAnsi="Arial" w:cs="Arial"/>
        </w:rPr>
        <w:t xml:space="preserve">The Style Guide </w:t>
      </w:r>
      <w:r w:rsidR="00D1685F" w:rsidRPr="00AD5277">
        <w:rPr>
          <w:rFonts w:ascii="Arial" w:hAnsi="Arial" w:cs="Arial"/>
        </w:rPr>
        <w:t>can be found on the website.</w:t>
      </w:r>
      <w:r w:rsidR="006624AD" w:rsidRPr="00AD5277">
        <w:rPr>
          <w:rFonts w:ascii="Arial" w:hAnsi="Arial" w:cs="Arial"/>
        </w:rPr>
        <w:t xml:space="preserve"> To request the usage of the MDT logo on materials outside the PMF program, please see the website for more details.</w:t>
      </w:r>
    </w:p>
    <w:p w:rsidR="002A781D" w:rsidRDefault="002A781D" w:rsidP="00AD5277">
      <w:pPr>
        <w:spacing w:after="0" w:line="240" w:lineRule="auto"/>
        <w:rPr>
          <w:rFonts w:ascii="Arial" w:hAnsi="Arial" w:cs="Arial"/>
        </w:rPr>
      </w:pPr>
    </w:p>
    <w:p w:rsidR="002A781D" w:rsidRPr="00AD5277" w:rsidRDefault="002A781D" w:rsidP="00AD5277">
      <w:pPr>
        <w:spacing w:after="0" w:line="240" w:lineRule="auto"/>
        <w:rPr>
          <w:rFonts w:ascii="Arial" w:hAnsi="Arial" w:cs="Arial"/>
        </w:rPr>
      </w:pPr>
      <w:r>
        <w:rPr>
          <w:rFonts w:ascii="Arial" w:hAnsi="Arial" w:cs="Arial"/>
        </w:rPr>
        <w:t xml:space="preserve">Logos other than the official MDT tourism logo and </w:t>
      </w:r>
      <w:r w:rsidR="00B86BC7">
        <w:rPr>
          <w:rFonts w:ascii="Arial" w:hAnsi="Arial" w:cs="Arial"/>
        </w:rPr>
        <w:t>DMO</w:t>
      </w:r>
      <w:r>
        <w:rPr>
          <w:rFonts w:ascii="Arial" w:hAnsi="Arial" w:cs="Arial"/>
        </w:rPr>
        <w:t xml:space="preserve"> logo are prohibited in all ads and literature funded through the PMF program; however, the use of small social media symbols in print advertising is generally acceptable. Ads featuring business and/or attraction logos will be denied. The participant is solely responsible for the inclusion of the official Missouri tourism logo and credit line on all funded ads, in accordance with the Missouri Style Guide. All landing pages and/or websites where the consumer is first directed by the advertising must include a link to the MDT home page (VisitMO.com).</w:t>
      </w:r>
    </w:p>
    <w:p w:rsidR="007A6ED5" w:rsidRPr="00ED3A25" w:rsidRDefault="007A6ED5" w:rsidP="00AD5277">
      <w:pPr>
        <w:spacing w:after="0" w:line="240" w:lineRule="auto"/>
        <w:rPr>
          <w:rFonts w:ascii="Arial" w:hAnsi="Arial" w:cs="Arial"/>
          <w:b/>
          <w:sz w:val="16"/>
          <w:szCs w:val="16"/>
        </w:rPr>
      </w:pPr>
    </w:p>
    <w:p w:rsidR="00085177" w:rsidRPr="00AD5277" w:rsidRDefault="00085177" w:rsidP="00AD5277">
      <w:pPr>
        <w:spacing w:after="0" w:line="240" w:lineRule="auto"/>
        <w:rPr>
          <w:rFonts w:ascii="Arial" w:hAnsi="Arial" w:cs="Arial"/>
          <w:b/>
          <w:sz w:val="24"/>
          <w:szCs w:val="24"/>
        </w:rPr>
      </w:pPr>
      <w:r w:rsidRPr="00AD5277">
        <w:rPr>
          <w:rFonts w:ascii="Arial" w:hAnsi="Arial" w:cs="Arial"/>
          <w:b/>
          <w:sz w:val="24"/>
          <w:szCs w:val="24"/>
        </w:rPr>
        <w:t>Advertising Pre-</w:t>
      </w:r>
      <w:r w:rsidR="007340F4">
        <w:rPr>
          <w:rFonts w:ascii="Arial" w:hAnsi="Arial" w:cs="Arial"/>
          <w:b/>
          <w:sz w:val="24"/>
          <w:szCs w:val="24"/>
        </w:rPr>
        <w:t>A</w:t>
      </w:r>
      <w:r w:rsidRPr="00AD5277">
        <w:rPr>
          <w:rFonts w:ascii="Arial" w:hAnsi="Arial" w:cs="Arial"/>
          <w:b/>
          <w:sz w:val="24"/>
          <w:szCs w:val="24"/>
        </w:rPr>
        <w:t>pproval</w:t>
      </w:r>
    </w:p>
    <w:p w:rsidR="00932A85" w:rsidRPr="00AD5277" w:rsidRDefault="00932A85" w:rsidP="00AD5277">
      <w:pPr>
        <w:spacing w:after="0" w:line="240" w:lineRule="auto"/>
        <w:rPr>
          <w:rFonts w:ascii="Arial" w:hAnsi="Arial" w:cs="Arial"/>
        </w:rPr>
      </w:pPr>
      <w:r w:rsidRPr="00AD5277">
        <w:rPr>
          <w:rFonts w:ascii="Arial" w:hAnsi="Arial" w:cs="Arial"/>
        </w:rPr>
        <w:t>Artwork for ads placed with funding from the MMG program must receive approval from MDT prior to pl</w:t>
      </w:r>
      <w:r w:rsidR="00A148F0" w:rsidRPr="00AD5277">
        <w:rPr>
          <w:rFonts w:ascii="Arial" w:hAnsi="Arial" w:cs="Arial"/>
        </w:rPr>
        <w:t>acement each program year. This process requires up</w:t>
      </w:r>
      <w:r w:rsidRPr="00AD5277">
        <w:rPr>
          <w:rFonts w:ascii="Arial" w:hAnsi="Arial" w:cs="Arial"/>
        </w:rPr>
        <w:t xml:space="preserve"> to five business days</w:t>
      </w:r>
      <w:r w:rsidR="00A148F0" w:rsidRPr="00AD5277">
        <w:rPr>
          <w:rFonts w:ascii="Arial" w:hAnsi="Arial" w:cs="Arial"/>
        </w:rPr>
        <w:t xml:space="preserve"> after the submission of the final and/or revised ad</w:t>
      </w:r>
      <w:r w:rsidRPr="00AD5277">
        <w:rPr>
          <w:rFonts w:ascii="Arial" w:hAnsi="Arial" w:cs="Arial"/>
        </w:rPr>
        <w:t xml:space="preserve">. </w:t>
      </w:r>
      <w:r w:rsidR="00B924F1" w:rsidRPr="00AD5277">
        <w:rPr>
          <w:rFonts w:ascii="Arial" w:hAnsi="Arial" w:cs="Arial"/>
        </w:rPr>
        <w:t>Fo</w:t>
      </w:r>
      <w:r w:rsidR="000937BB" w:rsidRPr="00AD5277">
        <w:rPr>
          <w:rFonts w:ascii="Arial" w:hAnsi="Arial" w:cs="Arial"/>
        </w:rPr>
        <w:t>r rich media</w:t>
      </w:r>
      <w:r w:rsidR="00B924F1" w:rsidRPr="00AD5277">
        <w:rPr>
          <w:rFonts w:ascii="Arial" w:hAnsi="Arial" w:cs="Arial"/>
        </w:rPr>
        <w:t xml:space="preserve">, both the playable ad and screenshots of all frames </w:t>
      </w:r>
      <w:r w:rsidR="000937BB" w:rsidRPr="00AD5277">
        <w:rPr>
          <w:rFonts w:ascii="Arial" w:hAnsi="Arial" w:cs="Arial"/>
        </w:rPr>
        <w:t xml:space="preserve">need to be submitted. </w:t>
      </w:r>
      <w:r w:rsidRPr="00AD5277">
        <w:rPr>
          <w:rFonts w:ascii="Arial" w:hAnsi="Arial" w:cs="Arial"/>
        </w:rPr>
        <w:t>Only finalized ads should be submitted for approval</w:t>
      </w:r>
      <w:r w:rsidR="00896A2E">
        <w:rPr>
          <w:rFonts w:ascii="Arial" w:hAnsi="Arial" w:cs="Arial"/>
        </w:rPr>
        <w:t>;</w:t>
      </w:r>
      <w:r w:rsidR="00A148F0" w:rsidRPr="00AD5277">
        <w:rPr>
          <w:rFonts w:ascii="Arial" w:hAnsi="Arial" w:cs="Arial"/>
        </w:rPr>
        <w:t xml:space="preserve"> incomplete ads will not be reviewed</w:t>
      </w:r>
      <w:r w:rsidRPr="00AD5277">
        <w:rPr>
          <w:rFonts w:ascii="Arial" w:hAnsi="Arial" w:cs="Arial"/>
        </w:rPr>
        <w:t xml:space="preserve">. If no changes have been made, an ad placed in numerous media requires approval only once each program year. </w:t>
      </w:r>
      <w:r w:rsidR="00BB63AA">
        <w:rPr>
          <w:rFonts w:ascii="Arial" w:hAnsi="Arial" w:cs="Arial"/>
        </w:rPr>
        <w:t xml:space="preserve">However, each ad must be approved in a new program year as policies and guidelines may change. </w:t>
      </w:r>
      <w:r w:rsidRPr="00AD5277">
        <w:rPr>
          <w:rFonts w:ascii="Arial" w:hAnsi="Arial" w:cs="Arial"/>
        </w:rPr>
        <w:t xml:space="preserve">MDT reserves the right to deny approval on ads considered offensive, profane or inappropriate in any way and those that do not represent the program’s intent. </w:t>
      </w:r>
      <w:r w:rsidR="00A3097A" w:rsidRPr="00AD5277">
        <w:rPr>
          <w:rFonts w:ascii="Arial" w:hAnsi="Arial" w:cs="Arial"/>
        </w:rPr>
        <w:t>The pre-approval forms can be found on the website.</w:t>
      </w:r>
    </w:p>
    <w:p w:rsidR="00C57364" w:rsidRPr="00ED3A25" w:rsidRDefault="00C57364" w:rsidP="00AD5277">
      <w:pPr>
        <w:spacing w:after="0" w:line="240" w:lineRule="auto"/>
        <w:rPr>
          <w:rFonts w:ascii="Arial" w:hAnsi="Arial" w:cs="Arial"/>
          <w:b/>
          <w:sz w:val="16"/>
          <w:szCs w:val="16"/>
        </w:rPr>
      </w:pPr>
    </w:p>
    <w:p w:rsidR="00AD5277" w:rsidRDefault="002C4152" w:rsidP="00AD5277">
      <w:pPr>
        <w:spacing w:after="0" w:line="240" w:lineRule="auto"/>
        <w:rPr>
          <w:rFonts w:ascii="Arial" w:hAnsi="Arial" w:cs="Arial"/>
          <w:b/>
        </w:rPr>
      </w:pPr>
      <w:r w:rsidRPr="00AD5277">
        <w:rPr>
          <w:rFonts w:ascii="Arial" w:hAnsi="Arial" w:cs="Arial"/>
          <w:b/>
          <w:sz w:val="24"/>
          <w:szCs w:val="24"/>
        </w:rPr>
        <w:t>In</w:t>
      </w:r>
      <w:r w:rsidR="00C57364" w:rsidRPr="00AD5277">
        <w:rPr>
          <w:rFonts w:ascii="Arial" w:hAnsi="Arial" w:cs="Arial"/>
          <w:b/>
          <w:sz w:val="24"/>
          <w:szCs w:val="24"/>
        </w:rPr>
        <w:t>-</w:t>
      </w:r>
      <w:r w:rsidR="007340F4">
        <w:rPr>
          <w:rFonts w:ascii="Arial" w:hAnsi="Arial" w:cs="Arial"/>
          <w:b/>
          <w:sz w:val="24"/>
          <w:szCs w:val="24"/>
        </w:rPr>
        <w:t>S</w:t>
      </w:r>
      <w:r w:rsidR="00C57364" w:rsidRPr="00AD5277">
        <w:rPr>
          <w:rFonts w:ascii="Arial" w:hAnsi="Arial" w:cs="Arial"/>
          <w:b/>
          <w:sz w:val="24"/>
          <w:szCs w:val="24"/>
        </w:rPr>
        <w:t>tate/Out-of-</w:t>
      </w:r>
      <w:r w:rsidR="007340F4">
        <w:rPr>
          <w:rFonts w:ascii="Arial" w:hAnsi="Arial" w:cs="Arial"/>
          <w:b/>
          <w:sz w:val="24"/>
          <w:szCs w:val="24"/>
        </w:rPr>
        <w:t>S</w:t>
      </w:r>
      <w:r w:rsidR="00C57364" w:rsidRPr="00AD5277">
        <w:rPr>
          <w:rFonts w:ascii="Arial" w:hAnsi="Arial" w:cs="Arial"/>
          <w:b/>
          <w:sz w:val="24"/>
          <w:szCs w:val="24"/>
        </w:rPr>
        <w:t>tate Requirements</w:t>
      </w:r>
      <w:r w:rsidR="00C57364" w:rsidRPr="00AD5277">
        <w:rPr>
          <w:rFonts w:ascii="Arial" w:hAnsi="Arial" w:cs="Arial"/>
          <w:b/>
        </w:rPr>
        <w:t xml:space="preserve"> </w:t>
      </w:r>
    </w:p>
    <w:p w:rsidR="00C11E86" w:rsidRPr="00AD5277" w:rsidRDefault="00C57364" w:rsidP="00AD5277">
      <w:pPr>
        <w:spacing w:after="0" w:line="240" w:lineRule="auto"/>
        <w:rPr>
          <w:rFonts w:ascii="Arial" w:hAnsi="Arial" w:cs="Arial"/>
          <w:b/>
        </w:rPr>
      </w:pPr>
      <w:r w:rsidRPr="00AD5277">
        <w:rPr>
          <w:rFonts w:ascii="Arial" w:hAnsi="Arial" w:cs="Arial"/>
        </w:rPr>
        <w:lastRenderedPageBreak/>
        <w:t>For CTL</w:t>
      </w:r>
      <w:r w:rsidR="004C34E7">
        <w:rPr>
          <w:rFonts w:ascii="Arial" w:hAnsi="Arial" w:cs="Arial"/>
        </w:rPr>
        <w:t>s</w:t>
      </w:r>
      <w:r w:rsidRPr="00AD5277">
        <w:rPr>
          <w:rFonts w:ascii="Arial" w:hAnsi="Arial" w:cs="Arial"/>
        </w:rPr>
        <w:t xml:space="preserve"> 5-7 only, a minimum of </w:t>
      </w:r>
      <w:r w:rsidR="00DB1C04">
        <w:rPr>
          <w:rFonts w:ascii="Arial" w:hAnsi="Arial" w:cs="Arial"/>
        </w:rPr>
        <w:t>75</w:t>
      </w:r>
      <w:r w:rsidRPr="00AD5277">
        <w:rPr>
          <w:rFonts w:ascii="Arial" w:hAnsi="Arial" w:cs="Arial"/>
        </w:rPr>
        <w:t xml:space="preserve"> percent of ad placements must target out-of-state markets.</w:t>
      </w:r>
      <w:r w:rsidRPr="00AD5277">
        <w:rPr>
          <w:rFonts w:ascii="Arial" w:hAnsi="Arial" w:cs="Arial"/>
          <w:b/>
        </w:rPr>
        <w:t xml:space="preserve"> </w:t>
      </w:r>
    </w:p>
    <w:p w:rsidR="002A781D" w:rsidRPr="0070071C" w:rsidRDefault="002A781D" w:rsidP="00AD5277">
      <w:pPr>
        <w:spacing w:after="0" w:line="240" w:lineRule="auto"/>
        <w:rPr>
          <w:rFonts w:ascii="Arial" w:hAnsi="Arial" w:cs="Arial"/>
          <w:b/>
          <w:sz w:val="16"/>
          <w:szCs w:val="16"/>
        </w:rPr>
      </w:pPr>
    </w:p>
    <w:p w:rsidR="00C11E86" w:rsidRPr="00AD5277" w:rsidRDefault="00C11E86" w:rsidP="00AD5277">
      <w:pPr>
        <w:spacing w:after="0" w:line="240" w:lineRule="auto"/>
        <w:rPr>
          <w:rFonts w:ascii="Arial" w:hAnsi="Arial" w:cs="Arial"/>
          <w:b/>
          <w:sz w:val="24"/>
          <w:szCs w:val="24"/>
        </w:rPr>
      </w:pPr>
      <w:r w:rsidRPr="00AD5277">
        <w:rPr>
          <w:rFonts w:ascii="Arial" w:hAnsi="Arial" w:cs="Arial"/>
          <w:b/>
          <w:sz w:val="24"/>
          <w:szCs w:val="24"/>
        </w:rPr>
        <w:t xml:space="preserve">Agency Commissions </w:t>
      </w:r>
    </w:p>
    <w:p w:rsidR="0070071C" w:rsidRDefault="0018185F" w:rsidP="00AD5277">
      <w:pPr>
        <w:spacing w:after="0" w:line="240" w:lineRule="auto"/>
        <w:rPr>
          <w:rFonts w:ascii="Arial" w:hAnsi="Arial" w:cs="Arial"/>
        </w:rPr>
      </w:pPr>
      <w:r w:rsidRPr="0018185F">
        <w:rPr>
          <w:rFonts w:ascii="Arial" w:hAnsi="Arial" w:cs="Arial"/>
        </w:rPr>
        <w:t>If the participa</w:t>
      </w:r>
      <w:r w:rsidR="00C11E86" w:rsidRPr="0018185F">
        <w:rPr>
          <w:rFonts w:ascii="Arial" w:hAnsi="Arial" w:cs="Arial"/>
        </w:rPr>
        <w:t>t</w:t>
      </w:r>
      <w:r w:rsidRPr="0018185F">
        <w:rPr>
          <w:rFonts w:ascii="Arial" w:hAnsi="Arial" w:cs="Arial"/>
        </w:rPr>
        <w:t>ing CTLs 5-7 elect</w:t>
      </w:r>
      <w:r w:rsidR="00C11E86" w:rsidRPr="0018185F">
        <w:rPr>
          <w:rFonts w:ascii="Arial" w:hAnsi="Arial" w:cs="Arial"/>
        </w:rPr>
        <w:t xml:space="preserve"> to place ads independently or through an ad agency, agency commissions above </w:t>
      </w:r>
      <w:r w:rsidR="00DB1C04">
        <w:rPr>
          <w:rFonts w:ascii="Arial" w:hAnsi="Arial" w:cs="Arial"/>
        </w:rPr>
        <w:t>15</w:t>
      </w:r>
      <w:r w:rsidR="00C11E86" w:rsidRPr="0018185F">
        <w:rPr>
          <w:rFonts w:ascii="Arial" w:hAnsi="Arial" w:cs="Arial"/>
        </w:rPr>
        <w:t xml:space="preserve"> percent of the incurred gross charge will not be reimbursed.</w:t>
      </w:r>
      <w:r w:rsidR="00C11E86" w:rsidRPr="00AD5277">
        <w:rPr>
          <w:rFonts w:ascii="Arial" w:hAnsi="Arial" w:cs="Arial"/>
        </w:rPr>
        <w:t xml:space="preserve"> Although it is not required, MDT encourages CTLs 5-7 only to have MDT</w:t>
      </w:r>
      <w:r w:rsidR="004C34E7">
        <w:rPr>
          <w:rFonts w:ascii="Arial" w:hAnsi="Arial" w:cs="Arial"/>
        </w:rPr>
        <w:t>’s</w:t>
      </w:r>
      <w:r w:rsidR="00C11E86" w:rsidRPr="00AD5277">
        <w:rPr>
          <w:rFonts w:ascii="Arial" w:hAnsi="Arial" w:cs="Arial"/>
        </w:rPr>
        <w:t xml:space="preserve"> ad agency</w:t>
      </w:r>
      <w:r w:rsidR="004C34E7">
        <w:rPr>
          <w:rFonts w:ascii="Arial" w:hAnsi="Arial" w:cs="Arial"/>
        </w:rPr>
        <w:t xml:space="preserve">, H&amp;L Partners, </w:t>
      </w:r>
      <w:r w:rsidR="00C11E86" w:rsidRPr="00AD5277">
        <w:rPr>
          <w:rFonts w:ascii="Arial" w:hAnsi="Arial" w:cs="Arial"/>
        </w:rPr>
        <w:t xml:space="preserve">place the ads. No fees or commissions will be assessed for these placement services. This service does not include trafficking. </w:t>
      </w:r>
      <w:r w:rsidR="004C34E7">
        <w:rPr>
          <w:rFonts w:ascii="Arial" w:hAnsi="Arial" w:cs="Arial"/>
        </w:rPr>
        <w:t>H&amp;L Partners</w:t>
      </w:r>
      <w:r w:rsidR="00C11E86" w:rsidRPr="00AD5277">
        <w:rPr>
          <w:rFonts w:ascii="Arial" w:hAnsi="Arial" w:cs="Arial"/>
        </w:rPr>
        <w:t xml:space="preserve"> will work to negotiate favorable media rates</w:t>
      </w:r>
      <w:r w:rsidR="00A00914">
        <w:rPr>
          <w:rFonts w:ascii="Arial" w:hAnsi="Arial" w:cs="Arial"/>
        </w:rPr>
        <w:t xml:space="preserve"> and will provide media buying and stewardship services</w:t>
      </w:r>
      <w:r w:rsidR="00871B8F">
        <w:rPr>
          <w:rFonts w:ascii="Arial" w:hAnsi="Arial" w:cs="Arial"/>
        </w:rPr>
        <w:t>. Additional information on the media buying provided by H&amp;L Partners can be found on the website.</w:t>
      </w:r>
    </w:p>
    <w:p w:rsidR="004C34E7" w:rsidRDefault="004C34E7" w:rsidP="00AD5277">
      <w:pPr>
        <w:spacing w:after="0" w:line="240" w:lineRule="auto"/>
        <w:rPr>
          <w:rFonts w:ascii="Arial" w:hAnsi="Arial" w:cs="Arial"/>
        </w:rPr>
      </w:pPr>
    </w:p>
    <w:p w:rsidR="009368DC" w:rsidRDefault="009368DC" w:rsidP="00AD5277">
      <w:pPr>
        <w:spacing w:after="0" w:line="240" w:lineRule="auto"/>
        <w:rPr>
          <w:rFonts w:ascii="Arial" w:hAnsi="Arial" w:cs="Arial"/>
          <w:b/>
          <w:sz w:val="24"/>
          <w:szCs w:val="24"/>
        </w:rPr>
      </w:pPr>
    </w:p>
    <w:p w:rsidR="006624AD" w:rsidRPr="00AD5277" w:rsidRDefault="00C11E86" w:rsidP="00AD5277">
      <w:pPr>
        <w:spacing w:after="0" w:line="240" w:lineRule="auto"/>
        <w:rPr>
          <w:rFonts w:ascii="Arial" w:hAnsi="Arial" w:cs="Arial"/>
          <w:sz w:val="24"/>
          <w:szCs w:val="24"/>
        </w:rPr>
      </w:pPr>
      <w:r w:rsidRPr="00AD5277">
        <w:rPr>
          <w:rFonts w:ascii="Arial" w:hAnsi="Arial" w:cs="Arial"/>
          <w:b/>
          <w:sz w:val="24"/>
          <w:szCs w:val="24"/>
        </w:rPr>
        <w:t>Qualified Media/Markets</w:t>
      </w:r>
      <w:r w:rsidR="006624AD" w:rsidRPr="00AD5277">
        <w:rPr>
          <w:rFonts w:ascii="Arial" w:hAnsi="Arial" w:cs="Arial"/>
          <w:sz w:val="24"/>
          <w:szCs w:val="24"/>
        </w:rPr>
        <w:t xml:space="preserve"> </w:t>
      </w:r>
    </w:p>
    <w:p w:rsidR="00C11E86" w:rsidRPr="00AD5277" w:rsidRDefault="00C11E86" w:rsidP="00AD5277">
      <w:pPr>
        <w:spacing w:after="0" w:line="240" w:lineRule="auto"/>
        <w:rPr>
          <w:rFonts w:ascii="Arial" w:hAnsi="Arial" w:cs="Arial"/>
        </w:rPr>
      </w:pPr>
      <w:r w:rsidRPr="00AD5277">
        <w:rPr>
          <w:rFonts w:ascii="Arial" w:hAnsi="Arial" w:cs="Arial"/>
        </w:rPr>
        <w:t>Advertising funded through the MMG program must be selected from an approved list of media in approved markets. The media/markets list is</w:t>
      </w:r>
      <w:r w:rsidR="00156BD8" w:rsidRPr="00AD5277">
        <w:rPr>
          <w:rFonts w:ascii="Arial" w:hAnsi="Arial" w:cs="Arial"/>
        </w:rPr>
        <w:t xml:space="preserve"> finalized each February</w:t>
      </w:r>
      <w:r w:rsidRPr="00AD5277">
        <w:rPr>
          <w:rFonts w:ascii="Arial" w:hAnsi="Arial" w:cs="Arial"/>
        </w:rPr>
        <w:t xml:space="preserve">, incorporating input from </w:t>
      </w:r>
      <w:r w:rsidR="004C34E7">
        <w:rPr>
          <w:rFonts w:ascii="Arial" w:hAnsi="Arial" w:cs="Arial"/>
        </w:rPr>
        <w:t>H&amp;L Partners</w:t>
      </w:r>
      <w:r w:rsidRPr="00AD5277">
        <w:rPr>
          <w:rFonts w:ascii="Arial" w:hAnsi="Arial" w:cs="Arial"/>
        </w:rPr>
        <w:t xml:space="preserve"> and requests from program participants. Participants requesting additions to the list must do so in writing</w:t>
      </w:r>
      <w:r w:rsidR="00156BD8" w:rsidRPr="00AD5277">
        <w:rPr>
          <w:rFonts w:ascii="Arial" w:hAnsi="Arial" w:cs="Arial"/>
        </w:rPr>
        <w:t xml:space="preserve"> for the next fiscal year. </w:t>
      </w:r>
      <w:r w:rsidRPr="00AD5277">
        <w:rPr>
          <w:rFonts w:ascii="Arial" w:hAnsi="Arial" w:cs="Arial"/>
        </w:rPr>
        <w:t>It is the responsibility of the participant to place advertising in only those medi</w:t>
      </w:r>
      <w:r w:rsidR="00A85A8B" w:rsidRPr="00AD5277">
        <w:rPr>
          <w:rFonts w:ascii="Arial" w:hAnsi="Arial" w:cs="Arial"/>
        </w:rPr>
        <w:t xml:space="preserve">a and markets approved by MDT. </w:t>
      </w:r>
      <w:r w:rsidRPr="00AD5277">
        <w:rPr>
          <w:rFonts w:ascii="Arial" w:hAnsi="Arial" w:cs="Arial"/>
        </w:rPr>
        <w:t>Eligible markets and publications on the pre-approved list are the ONLY allowable markets and publication</w:t>
      </w:r>
      <w:r w:rsidR="00156BD8" w:rsidRPr="00AD5277">
        <w:rPr>
          <w:rFonts w:ascii="Arial" w:hAnsi="Arial" w:cs="Arial"/>
        </w:rPr>
        <w:t xml:space="preserve">s that will be reimbursed. </w:t>
      </w:r>
      <w:r w:rsidR="00A85A8B" w:rsidRPr="00AD5277">
        <w:rPr>
          <w:rFonts w:ascii="Arial" w:hAnsi="Arial" w:cs="Arial"/>
        </w:rPr>
        <w:t>The approved media/markets list can be found on the website.</w:t>
      </w:r>
    </w:p>
    <w:p w:rsidR="00C11E86" w:rsidRPr="00ED3A25" w:rsidRDefault="00C11E86" w:rsidP="00AD5277">
      <w:pPr>
        <w:spacing w:after="0" w:line="240" w:lineRule="auto"/>
        <w:rPr>
          <w:rFonts w:ascii="Arial" w:hAnsi="Arial" w:cs="Arial"/>
          <w:b/>
          <w:sz w:val="16"/>
          <w:szCs w:val="16"/>
        </w:rPr>
      </w:pPr>
    </w:p>
    <w:p w:rsidR="00DA6374" w:rsidRPr="00AD5277" w:rsidRDefault="0067075C" w:rsidP="00AD5277">
      <w:pPr>
        <w:spacing w:after="0" w:line="240" w:lineRule="auto"/>
        <w:rPr>
          <w:rFonts w:ascii="Arial" w:hAnsi="Arial" w:cs="Arial"/>
          <w:b/>
          <w:sz w:val="24"/>
          <w:szCs w:val="24"/>
        </w:rPr>
      </w:pPr>
      <w:r w:rsidRPr="00AD5277">
        <w:rPr>
          <w:rFonts w:ascii="Arial" w:hAnsi="Arial" w:cs="Arial"/>
          <w:b/>
          <w:sz w:val="24"/>
          <w:szCs w:val="24"/>
        </w:rPr>
        <w:t xml:space="preserve">Eligible </w:t>
      </w:r>
      <w:r w:rsidR="002C4152" w:rsidRPr="00AD5277">
        <w:rPr>
          <w:rFonts w:ascii="Arial" w:hAnsi="Arial" w:cs="Arial"/>
          <w:b/>
          <w:sz w:val="24"/>
          <w:szCs w:val="24"/>
        </w:rPr>
        <w:t>Products</w:t>
      </w:r>
      <w:r w:rsidR="00DA6374" w:rsidRPr="00AD5277">
        <w:rPr>
          <w:rFonts w:ascii="Arial" w:hAnsi="Arial" w:cs="Arial"/>
          <w:b/>
          <w:sz w:val="24"/>
          <w:szCs w:val="24"/>
        </w:rPr>
        <w:t xml:space="preserve"> </w:t>
      </w:r>
    </w:p>
    <w:p w:rsidR="004C34E7" w:rsidRPr="004C34E7" w:rsidRDefault="004C34E7" w:rsidP="004C34E7">
      <w:pPr>
        <w:pStyle w:val="ListParagraph"/>
        <w:numPr>
          <w:ilvl w:val="0"/>
          <w:numId w:val="8"/>
        </w:numPr>
        <w:spacing w:after="0" w:line="240" w:lineRule="auto"/>
        <w:ind w:hanging="180"/>
        <w:rPr>
          <w:rFonts w:ascii="Arial" w:hAnsi="Arial" w:cs="Arial"/>
          <w:b/>
        </w:rPr>
      </w:pPr>
      <w:r w:rsidRPr="00AD5277">
        <w:rPr>
          <w:rFonts w:ascii="Arial" w:hAnsi="Arial" w:cs="Arial"/>
        </w:rPr>
        <w:t>Single attraction advert</w:t>
      </w:r>
      <w:r>
        <w:rPr>
          <w:rFonts w:ascii="Arial" w:hAnsi="Arial" w:cs="Arial"/>
        </w:rPr>
        <w:t>ising</w:t>
      </w:r>
    </w:p>
    <w:p w:rsidR="002C1C87" w:rsidRPr="00C4586E" w:rsidRDefault="002C1C87" w:rsidP="00C4586E">
      <w:pPr>
        <w:pStyle w:val="ListParagraph"/>
        <w:numPr>
          <w:ilvl w:val="0"/>
          <w:numId w:val="8"/>
        </w:numPr>
        <w:spacing w:after="0" w:line="240" w:lineRule="auto"/>
        <w:ind w:hanging="180"/>
        <w:rPr>
          <w:rFonts w:ascii="Arial" w:hAnsi="Arial" w:cs="Arial"/>
          <w:b/>
        </w:rPr>
      </w:pPr>
      <w:r w:rsidRPr="00AD5277">
        <w:rPr>
          <w:rFonts w:ascii="Arial" w:hAnsi="Arial" w:cs="Arial"/>
        </w:rPr>
        <w:t>The promotion of two or more events</w:t>
      </w:r>
      <w:r w:rsidR="003D0425" w:rsidRPr="00AD5277">
        <w:rPr>
          <w:rFonts w:ascii="Arial" w:hAnsi="Arial" w:cs="Arial"/>
        </w:rPr>
        <w:t xml:space="preserve"> </w:t>
      </w:r>
      <w:r w:rsidRPr="00C4586E">
        <w:rPr>
          <w:rFonts w:ascii="Arial" w:hAnsi="Arial" w:cs="Arial"/>
        </w:rPr>
        <w:t xml:space="preserve"> </w:t>
      </w:r>
    </w:p>
    <w:p w:rsidR="00A85A8B" w:rsidRPr="00001190" w:rsidRDefault="00A85A8B" w:rsidP="00E328A0">
      <w:pPr>
        <w:pStyle w:val="ListParagraph"/>
        <w:numPr>
          <w:ilvl w:val="0"/>
          <w:numId w:val="8"/>
        </w:numPr>
        <w:spacing w:after="0" w:line="240" w:lineRule="auto"/>
        <w:ind w:hanging="180"/>
        <w:rPr>
          <w:rFonts w:ascii="Arial" w:hAnsi="Arial" w:cs="Arial"/>
          <w:b/>
        </w:rPr>
      </w:pPr>
      <w:r w:rsidRPr="00AD5277">
        <w:rPr>
          <w:rFonts w:ascii="Arial" w:hAnsi="Arial" w:cs="Arial"/>
        </w:rPr>
        <w:t>Single event marketing is allowabl</w:t>
      </w:r>
      <w:r w:rsidR="00C4586E">
        <w:rPr>
          <w:rFonts w:ascii="Arial" w:hAnsi="Arial" w:cs="Arial"/>
        </w:rPr>
        <w:t xml:space="preserve">e if the event is at least two consecutive </w:t>
      </w:r>
      <w:r w:rsidRPr="00AD5277">
        <w:rPr>
          <w:rFonts w:ascii="Arial" w:hAnsi="Arial" w:cs="Arial"/>
        </w:rPr>
        <w:t>day</w:t>
      </w:r>
      <w:r w:rsidR="00C4586E">
        <w:rPr>
          <w:rFonts w:ascii="Arial" w:hAnsi="Arial" w:cs="Arial"/>
        </w:rPr>
        <w:t xml:space="preserve">s and the </w:t>
      </w:r>
      <w:r w:rsidRPr="00AD5277">
        <w:rPr>
          <w:rFonts w:ascii="Arial" w:hAnsi="Arial" w:cs="Arial"/>
        </w:rPr>
        <w:t>ad includes multiple event activities</w:t>
      </w:r>
      <w:r w:rsidR="00C4586E">
        <w:rPr>
          <w:rFonts w:ascii="Arial" w:hAnsi="Arial" w:cs="Arial"/>
        </w:rPr>
        <w:t xml:space="preserve"> – the event </w:t>
      </w:r>
      <w:r w:rsidR="00001190">
        <w:rPr>
          <w:rFonts w:ascii="Arial" w:hAnsi="Arial" w:cs="Arial"/>
        </w:rPr>
        <w:t xml:space="preserve">dates </w:t>
      </w:r>
      <w:r w:rsidR="00C4586E">
        <w:rPr>
          <w:rFonts w:ascii="Arial" w:hAnsi="Arial" w:cs="Arial"/>
        </w:rPr>
        <w:t>or activity dates must be</w:t>
      </w:r>
      <w:r w:rsidR="009A1FBB">
        <w:rPr>
          <w:rFonts w:ascii="Arial" w:hAnsi="Arial" w:cs="Arial"/>
        </w:rPr>
        <w:t xml:space="preserve"> </w:t>
      </w:r>
      <w:r w:rsidR="00C4586E">
        <w:rPr>
          <w:rFonts w:ascii="Arial" w:hAnsi="Arial" w:cs="Arial"/>
        </w:rPr>
        <w:t>advertised</w:t>
      </w:r>
    </w:p>
    <w:p w:rsidR="00EB1A4C" w:rsidRPr="00B379A3" w:rsidRDefault="00EB1A4C" w:rsidP="00E328A0">
      <w:pPr>
        <w:pStyle w:val="ListParagraph"/>
        <w:numPr>
          <w:ilvl w:val="0"/>
          <w:numId w:val="8"/>
        </w:numPr>
        <w:spacing w:after="0" w:line="240" w:lineRule="auto"/>
        <w:ind w:hanging="180"/>
        <w:rPr>
          <w:rFonts w:ascii="Arial" w:hAnsi="Arial" w:cs="Arial"/>
          <w:b/>
        </w:rPr>
      </w:pPr>
      <w:r w:rsidRPr="00AD5277">
        <w:rPr>
          <w:rFonts w:ascii="Arial" w:hAnsi="Arial" w:cs="Arial"/>
        </w:rPr>
        <w:lastRenderedPageBreak/>
        <w:t>Advertising placement in the following:</w:t>
      </w:r>
      <w:r w:rsidR="00BB63AA">
        <w:rPr>
          <w:rFonts w:ascii="Arial" w:hAnsi="Arial" w:cs="Arial"/>
        </w:rPr>
        <w:t xml:space="preserve"> print, billboards, </w:t>
      </w:r>
      <w:r w:rsidR="004C34E7">
        <w:rPr>
          <w:rFonts w:ascii="Arial" w:hAnsi="Arial" w:cs="Arial"/>
        </w:rPr>
        <w:t xml:space="preserve">TV, </w:t>
      </w:r>
      <w:r w:rsidR="00BB63AA">
        <w:rPr>
          <w:rFonts w:ascii="Arial" w:hAnsi="Arial" w:cs="Arial"/>
        </w:rPr>
        <w:t>radio, digital</w:t>
      </w:r>
      <w:r w:rsidR="006457BC">
        <w:rPr>
          <w:rFonts w:ascii="Arial" w:hAnsi="Arial" w:cs="Arial"/>
        </w:rPr>
        <w:t xml:space="preserve"> and SEM</w:t>
      </w:r>
      <w:r w:rsidRPr="00AD5277">
        <w:rPr>
          <w:rFonts w:ascii="Arial" w:hAnsi="Arial" w:cs="Arial"/>
        </w:rPr>
        <w:t xml:space="preserve"> </w:t>
      </w:r>
    </w:p>
    <w:p w:rsidR="00B379A3" w:rsidRPr="00B379A3" w:rsidRDefault="00B379A3" w:rsidP="00B379A3">
      <w:pPr>
        <w:pStyle w:val="ListParagraph"/>
        <w:numPr>
          <w:ilvl w:val="0"/>
          <w:numId w:val="8"/>
        </w:numPr>
        <w:spacing w:after="0" w:line="240" w:lineRule="auto"/>
        <w:ind w:hanging="180"/>
        <w:rPr>
          <w:rFonts w:ascii="Arial" w:hAnsi="Arial" w:cs="Arial"/>
          <w:b/>
        </w:rPr>
      </w:pPr>
      <w:r w:rsidRPr="0018185F">
        <w:rPr>
          <w:rFonts w:ascii="Arial" w:hAnsi="Arial" w:cs="Arial"/>
        </w:rPr>
        <w:t xml:space="preserve">For CTLs 5-7, ad agency fees up to </w:t>
      </w:r>
      <w:r w:rsidR="00DB1C04">
        <w:rPr>
          <w:rFonts w:ascii="Arial" w:hAnsi="Arial" w:cs="Arial"/>
        </w:rPr>
        <w:t>15</w:t>
      </w:r>
      <w:r w:rsidRPr="0018185F">
        <w:rPr>
          <w:rFonts w:ascii="Arial" w:hAnsi="Arial" w:cs="Arial"/>
        </w:rPr>
        <w:t xml:space="preserve"> perce</w:t>
      </w:r>
      <w:r w:rsidR="006457BC">
        <w:rPr>
          <w:rFonts w:ascii="Arial" w:hAnsi="Arial" w:cs="Arial"/>
        </w:rPr>
        <w:t>nt of the incurred gross charge</w:t>
      </w:r>
      <w:r w:rsidRPr="0018185F">
        <w:rPr>
          <w:rFonts w:ascii="Arial" w:hAnsi="Arial" w:cs="Arial"/>
        </w:rPr>
        <w:t xml:space="preserve"> </w:t>
      </w:r>
    </w:p>
    <w:p w:rsidR="00EB1A4C" w:rsidRPr="00AD5277" w:rsidRDefault="00EB1A4C" w:rsidP="00E328A0">
      <w:pPr>
        <w:pStyle w:val="ListParagraph"/>
        <w:numPr>
          <w:ilvl w:val="0"/>
          <w:numId w:val="8"/>
        </w:numPr>
        <w:spacing w:after="0" w:line="240" w:lineRule="auto"/>
        <w:ind w:hanging="180"/>
        <w:rPr>
          <w:rFonts w:ascii="Arial" w:hAnsi="Arial" w:cs="Arial"/>
          <w:b/>
        </w:rPr>
      </w:pPr>
      <w:r w:rsidRPr="00AD5277">
        <w:rPr>
          <w:rFonts w:ascii="Arial" w:hAnsi="Arial" w:cs="Arial"/>
        </w:rPr>
        <w:t xml:space="preserve">Limited ad serving </w:t>
      </w:r>
      <w:r w:rsidR="00A00914">
        <w:rPr>
          <w:rFonts w:ascii="Arial" w:hAnsi="Arial" w:cs="Arial"/>
        </w:rPr>
        <w:t xml:space="preserve">and ad monitoring </w:t>
      </w:r>
      <w:r w:rsidRPr="00AD5277">
        <w:rPr>
          <w:rFonts w:ascii="Arial" w:hAnsi="Arial" w:cs="Arial"/>
        </w:rPr>
        <w:t xml:space="preserve">costs may be included as a portion of online advertising placement. </w:t>
      </w:r>
      <w:r w:rsidR="00B379A3">
        <w:rPr>
          <w:rFonts w:ascii="Arial" w:hAnsi="Arial" w:cs="Arial"/>
        </w:rPr>
        <w:t xml:space="preserve">This includes the cost for serving standard banner ads up to </w:t>
      </w:r>
      <w:r w:rsidR="00DB1C04">
        <w:rPr>
          <w:rFonts w:ascii="Arial" w:hAnsi="Arial" w:cs="Arial"/>
        </w:rPr>
        <w:t>10</w:t>
      </w:r>
      <w:r w:rsidR="00B379A3">
        <w:rPr>
          <w:rFonts w:ascii="Arial" w:hAnsi="Arial" w:cs="Arial"/>
        </w:rPr>
        <w:t xml:space="preserve"> cents per thousand impressions, the cost for serving larger HTML </w:t>
      </w:r>
      <w:r w:rsidR="00502DFF">
        <w:rPr>
          <w:rFonts w:ascii="Arial" w:hAnsi="Arial" w:cs="Arial"/>
        </w:rPr>
        <w:t>five</w:t>
      </w:r>
      <w:r w:rsidR="00B379A3">
        <w:rPr>
          <w:rFonts w:ascii="Arial" w:hAnsi="Arial" w:cs="Arial"/>
        </w:rPr>
        <w:t xml:space="preserve"> banner ads and rich media up to </w:t>
      </w:r>
      <w:r w:rsidR="00DB1C04">
        <w:rPr>
          <w:rFonts w:ascii="Arial" w:hAnsi="Arial" w:cs="Arial"/>
        </w:rPr>
        <w:t>90</w:t>
      </w:r>
      <w:r w:rsidR="00B379A3">
        <w:rPr>
          <w:rFonts w:ascii="Arial" w:hAnsi="Arial" w:cs="Arial"/>
        </w:rPr>
        <w:t xml:space="preserve"> cents per thousand impressions, the cost for serving video ads up the $1 per thousand impressions and the cost of ad monitoring fe</w:t>
      </w:r>
      <w:r w:rsidR="00502DFF">
        <w:rPr>
          <w:rFonts w:ascii="Arial" w:hAnsi="Arial" w:cs="Arial"/>
        </w:rPr>
        <w:t xml:space="preserve">es up to </w:t>
      </w:r>
      <w:r w:rsidR="00DB1C04">
        <w:rPr>
          <w:rFonts w:ascii="Arial" w:hAnsi="Arial" w:cs="Arial"/>
        </w:rPr>
        <w:t>15</w:t>
      </w:r>
      <w:r w:rsidR="00B379A3">
        <w:rPr>
          <w:rFonts w:ascii="Arial" w:hAnsi="Arial" w:cs="Arial"/>
        </w:rPr>
        <w:t xml:space="preserve"> cents per thousand impressions.</w:t>
      </w:r>
      <w:r w:rsidR="00D13EAF">
        <w:rPr>
          <w:rFonts w:ascii="Arial" w:hAnsi="Arial" w:cs="Arial"/>
        </w:rPr>
        <w:t xml:space="preserve"> </w:t>
      </w:r>
      <w:r w:rsidRPr="00AD5277">
        <w:rPr>
          <w:rFonts w:ascii="Arial" w:hAnsi="Arial" w:cs="Arial"/>
        </w:rPr>
        <w:t>MDT highly encourages al</w:t>
      </w:r>
      <w:r w:rsidR="00A85A8B" w:rsidRPr="00AD5277">
        <w:rPr>
          <w:rFonts w:ascii="Arial" w:hAnsi="Arial" w:cs="Arial"/>
        </w:rPr>
        <w:t>l</w:t>
      </w:r>
      <w:r w:rsidRPr="00AD5277">
        <w:rPr>
          <w:rFonts w:ascii="Arial" w:hAnsi="Arial" w:cs="Arial"/>
        </w:rPr>
        <w:t xml:space="preserve"> DMOs to use a </w:t>
      </w:r>
      <w:r w:rsidR="006624AD" w:rsidRPr="00AD5277">
        <w:rPr>
          <w:rFonts w:ascii="Arial" w:hAnsi="Arial" w:cs="Arial"/>
        </w:rPr>
        <w:t>third</w:t>
      </w:r>
      <w:r w:rsidR="006457BC">
        <w:rPr>
          <w:rFonts w:ascii="Arial" w:hAnsi="Arial" w:cs="Arial"/>
        </w:rPr>
        <w:t xml:space="preserve"> party ad server</w:t>
      </w:r>
      <w:r w:rsidRPr="00AD5277">
        <w:rPr>
          <w:rFonts w:ascii="Arial" w:hAnsi="Arial" w:cs="Arial"/>
        </w:rPr>
        <w:t xml:space="preserve"> </w:t>
      </w:r>
    </w:p>
    <w:p w:rsidR="00ED3A25" w:rsidRPr="00ED3A25" w:rsidRDefault="00ED3A25" w:rsidP="00AD5277">
      <w:pPr>
        <w:pStyle w:val="ListParagraph"/>
        <w:spacing w:after="0" w:line="240" w:lineRule="auto"/>
        <w:ind w:left="0"/>
        <w:rPr>
          <w:rFonts w:ascii="Arial" w:hAnsi="Arial" w:cs="Arial"/>
          <w:b/>
          <w:sz w:val="16"/>
          <w:szCs w:val="16"/>
        </w:rPr>
      </w:pPr>
    </w:p>
    <w:p w:rsidR="00151BFD" w:rsidRPr="00AD5277" w:rsidRDefault="00151BFD" w:rsidP="00AD5277">
      <w:pPr>
        <w:spacing w:after="0" w:line="240" w:lineRule="auto"/>
        <w:rPr>
          <w:rFonts w:ascii="Arial" w:hAnsi="Arial" w:cs="Arial"/>
          <w:b/>
          <w:sz w:val="24"/>
          <w:szCs w:val="24"/>
        </w:rPr>
      </w:pPr>
      <w:r w:rsidRPr="00AD5277">
        <w:rPr>
          <w:rFonts w:ascii="Arial" w:hAnsi="Arial" w:cs="Arial"/>
          <w:b/>
          <w:sz w:val="24"/>
          <w:szCs w:val="24"/>
        </w:rPr>
        <w:t>Ineligible Products</w:t>
      </w:r>
    </w:p>
    <w:p w:rsidR="00151BFD" w:rsidRPr="00AD5277" w:rsidRDefault="00151BFD"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Production costs associated with media, with the ex</w:t>
      </w:r>
      <w:r w:rsidR="006457BC">
        <w:rPr>
          <w:rFonts w:ascii="Arial" w:hAnsi="Arial" w:cs="Arial"/>
        </w:rPr>
        <w:t>ception of billboard production</w:t>
      </w:r>
    </w:p>
    <w:p w:rsidR="00F57CE6" w:rsidRPr="00AD5277" w:rsidRDefault="00DA6374"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 xml:space="preserve">Administrative </w:t>
      </w:r>
      <w:r w:rsidR="006624AD" w:rsidRPr="00AD5277">
        <w:rPr>
          <w:rFonts w:ascii="Arial" w:hAnsi="Arial" w:cs="Arial"/>
        </w:rPr>
        <w:t>c</w:t>
      </w:r>
      <w:r w:rsidRPr="00AD5277">
        <w:rPr>
          <w:rFonts w:ascii="Arial" w:hAnsi="Arial" w:cs="Arial"/>
        </w:rPr>
        <w:t xml:space="preserve">osts (salaries, </w:t>
      </w:r>
      <w:r w:rsidR="00024813" w:rsidRPr="00AD5277">
        <w:rPr>
          <w:rFonts w:ascii="Arial" w:hAnsi="Arial" w:cs="Arial"/>
        </w:rPr>
        <w:t>food, beverages, travel costs</w:t>
      </w:r>
      <w:r w:rsidRPr="00AD5277">
        <w:rPr>
          <w:rFonts w:ascii="Arial" w:hAnsi="Arial" w:cs="Arial"/>
        </w:rPr>
        <w:t xml:space="preserve">, </w:t>
      </w:r>
      <w:r w:rsidR="00024813" w:rsidRPr="00AD5277">
        <w:rPr>
          <w:rFonts w:ascii="Arial" w:hAnsi="Arial" w:cs="Arial"/>
        </w:rPr>
        <w:t xml:space="preserve">promotional </w:t>
      </w:r>
      <w:r w:rsidRPr="00AD5277">
        <w:rPr>
          <w:rFonts w:ascii="Arial" w:hAnsi="Arial" w:cs="Arial"/>
        </w:rPr>
        <w:t>gifts, awards, web hostin</w:t>
      </w:r>
      <w:r w:rsidR="00F57CE6" w:rsidRPr="00AD5277">
        <w:rPr>
          <w:rFonts w:ascii="Arial" w:hAnsi="Arial" w:cs="Arial"/>
        </w:rPr>
        <w:t>g, memberships, entertainment)</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T</w:t>
      </w:r>
      <w:r w:rsidR="00024813" w:rsidRPr="00AD5277">
        <w:rPr>
          <w:rFonts w:ascii="Arial" w:hAnsi="Arial" w:cs="Arial"/>
        </w:rPr>
        <w:t xml:space="preserve">raining </w:t>
      </w:r>
      <w:r w:rsidR="00DA6374" w:rsidRPr="00AD5277">
        <w:rPr>
          <w:rFonts w:ascii="Arial" w:hAnsi="Arial" w:cs="Arial"/>
        </w:rPr>
        <w:t>registration</w:t>
      </w:r>
      <w:r w:rsidR="00024813" w:rsidRPr="00AD5277">
        <w:rPr>
          <w:rFonts w:ascii="Arial" w:hAnsi="Arial" w:cs="Arial"/>
        </w:rPr>
        <w:t xml:space="preserve"> fees</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 xml:space="preserve">Familiarization tours (FAMS) </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E</w:t>
      </w:r>
      <w:r w:rsidR="00DA6374" w:rsidRPr="00AD5277">
        <w:rPr>
          <w:rFonts w:ascii="Arial" w:hAnsi="Arial" w:cs="Arial"/>
        </w:rPr>
        <w:t>xpenses incurred or commitments made prior to the grant award</w:t>
      </w:r>
      <w:r w:rsidRPr="00AD5277">
        <w:rPr>
          <w:rFonts w:ascii="Arial" w:hAnsi="Arial" w:cs="Arial"/>
        </w:rPr>
        <w:t xml:space="preserve"> </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T</w:t>
      </w:r>
      <w:r w:rsidR="00FE4F89" w:rsidRPr="00AD5277">
        <w:rPr>
          <w:rFonts w:ascii="Arial" w:hAnsi="Arial" w:cs="Arial"/>
        </w:rPr>
        <w:t>angible perso</w:t>
      </w:r>
      <w:r w:rsidRPr="00AD5277">
        <w:rPr>
          <w:rFonts w:ascii="Arial" w:hAnsi="Arial" w:cs="Arial"/>
        </w:rPr>
        <w:t xml:space="preserve">nal property </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Scholarships</w:t>
      </w:r>
      <w:r w:rsidR="00024813" w:rsidRPr="00AD5277">
        <w:rPr>
          <w:rFonts w:ascii="Arial" w:hAnsi="Arial" w:cs="Arial"/>
        </w:rPr>
        <w:t xml:space="preserve"> </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C</w:t>
      </w:r>
      <w:r w:rsidR="00FE4F89" w:rsidRPr="00AD5277">
        <w:rPr>
          <w:rFonts w:ascii="Arial" w:hAnsi="Arial" w:cs="Arial"/>
        </w:rPr>
        <w:t>ontests</w:t>
      </w:r>
    </w:p>
    <w:p w:rsidR="00F57CE6"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C</w:t>
      </w:r>
      <w:r w:rsidR="00024813" w:rsidRPr="00AD5277">
        <w:rPr>
          <w:rFonts w:ascii="Arial" w:hAnsi="Arial" w:cs="Arial"/>
        </w:rPr>
        <w:t>onsumer</w:t>
      </w:r>
      <w:r w:rsidRPr="00AD5277">
        <w:rPr>
          <w:rFonts w:ascii="Arial" w:hAnsi="Arial" w:cs="Arial"/>
        </w:rPr>
        <w:t xml:space="preserve"> and/or trade</w:t>
      </w:r>
      <w:r w:rsidR="00024813" w:rsidRPr="00AD5277">
        <w:rPr>
          <w:rFonts w:ascii="Arial" w:hAnsi="Arial" w:cs="Arial"/>
        </w:rPr>
        <w:t xml:space="preserve"> show</w:t>
      </w:r>
      <w:r w:rsidRPr="00AD5277">
        <w:rPr>
          <w:rFonts w:ascii="Arial" w:hAnsi="Arial" w:cs="Arial"/>
        </w:rPr>
        <w:t xml:space="preserve">s </w:t>
      </w:r>
    </w:p>
    <w:p w:rsidR="00F57CE6" w:rsidRPr="00AD5277" w:rsidRDefault="006457BC" w:rsidP="00E328A0">
      <w:pPr>
        <w:pStyle w:val="ListParagraph"/>
        <w:numPr>
          <w:ilvl w:val="0"/>
          <w:numId w:val="7"/>
        </w:numPr>
        <w:spacing w:after="0" w:line="240" w:lineRule="auto"/>
        <w:ind w:left="720" w:hanging="180"/>
        <w:rPr>
          <w:rFonts w:ascii="Arial" w:hAnsi="Arial" w:cs="Arial"/>
        </w:rPr>
      </w:pPr>
      <w:r>
        <w:rPr>
          <w:rFonts w:ascii="Arial" w:hAnsi="Arial" w:cs="Arial"/>
        </w:rPr>
        <w:t>Operating costs</w:t>
      </w:r>
    </w:p>
    <w:p w:rsidR="00CB06AB" w:rsidRPr="00AD5277" w:rsidRDefault="00F57CE6" w:rsidP="00E328A0">
      <w:pPr>
        <w:pStyle w:val="ListParagraph"/>
        <w:numPr>
          <w:ilvl w:val="0"/>
          <w:numId w:val="7"/>
        </w:numPr>
        <w:spacing w:after="0" w:line="240" w:lineRule="auto"/>
        <w:ind w:left="720" w:hanging="180"/>
        <w:rPr>
          <w:rFonts w:ascii="Arial" w:hAnsi="Arial" w:cs="Arial"/>
        </w:rPr>
      </w:pPr>
      <w:r w:rsidRPr="00AD5277">
        <w:rPr>
          <w:rFonts w:ascii="Arial" w:hAnsi="Arial" w:cs="Arial"/>
        </w:rPr>
        <w:t>N</w:t>
      </w:r>
      <w:r w:rsidR="00024813" w:rsidRPr="00AD5277">
        <w:rPr>
          <w:rFonts w:ascii="Arial" w:hAnsi="Arial" w:cs="Arial"/>
        </w:rPr>
        <w:t>on-budgeted expenses</w:t>
      </w:r>
    </w:p>
    <w:p w:rsidR="00B379A3" w:rsidRDefault="00B379A3" w:rsidP="00AD5277">
      <w:pPr>
        <w:pStyle w:val="ListParagraph"/>
        <w:spacing w:after="0" w:line="240" w:lineRule="auto"/>
        <w:ind w:left="0"/>
        <w:rPr>
          <w:rFonts w:ascii="Arial" w:hAnsi="Arial" w:cs="Arial"/>
          <w:b/>
          <w:sz w:val="24"/>
          <w:szCs w:val="24"/>
          <w:u w:val="single"/>
        </w:rPr>
      </w:pPr>
    </w:p>
    <w:p w:rsidR="00AD5277" w:rsidRDefault="00AD5277" w:rsidP="00AD5277">
      <w:pPr>
        <w:pStyle w:val="ListParagraph"/>
        <w:spacing w:after="0" w:line="240" w:lineRule="auto"/>
        <w:ind w:left="0"/>
        <w:rPr>
          <w:rFonts w:ascii="Arial" w:hAnsi="Arial" w:cs="Arial"/>
          <w:b/>
          <w:sz w:val="24"/>
          <w:szCs w:val="24"/>
          <w:u w:val="single"/>
        </w:rPr>
      </w:pPr>
      <w:r>
        <w:rPr>
          <w:rFonts w:ascii="Arial" w:hAnsi="Arial" w:cs="Arial"/>
          <w:b/>
          <w:sz w:val="24"/>
          <w:szCs w:val="24"/>
          <w:u w:val="single"/>
        </w:rPr>
        <w:t>MMG Reimbursement Requirements</w:t>
      </w:r>
    </w:p>
    <w:p w:rsidR="00AD5277" w:rsidRPr="00ED3A25" w:rsidRDefault="00AD5277" w:rsidP="00AD5277">
      <w:pPr>
        <w:pStyle w:val="ListParagraph"/>
        <w:spacing w:after="0" w:line="240" w:lineRule="auto"/>
        <w:ind w:left="0"/>
        <w:rPr>
          <w:rFonts w:ascii="Arial" w:hAnsi="Arial" w:cs="Arial"/>
          <w:b/>
          <w:sz w:val="16"/>
          <w:szCs w:val="16"/>
          <w:u w:val="single"/>
        </w:rPr>
      </w:pPr>
    </w:p>
    <w:p w:rsidR="00085177" w:rsidRPr="00AD5277" w:rsidRDefault="00085177" w:rsidP="00AD5277">
      <w:pPr>
        <w:spacing w:after="0" w:line="240" w:lineRule="auto"/>
        <w:rPr>
          <w:rFonts w:ascii="Arial" w:hAnsi="Arial" w:cs="Arial"/>
          <w:sz w:val="24"/>
          <w:szCs w:val="24"/>
        </w:rPr>
      </w:pPr>
      <w:r w:rsidRPr="00AD5277">
        <w:rPr>
          <w:rFonts w:ascii="Arial" w:hAnsi="Arial" w:cs="Arial"/>
          <w:b/>
          <w:sz w:val="24"/>
          <w:szCs w:val="24"/>
        </w:rPr>
        <w:t>Quarterly Reimbursement and Reporting</w:t>
      </w:r>
    </w:p>
    <w:p w:rsidR="00B351EF" w:rsidRPr="00AD5277" w:rsidRDefault="001F3C1C" w:rsidP="00AD5277">
      <w:pPr>
        <w:spacing w:after="0" w:line="240" w:lineRule="auto"/>
        <w:rPr>
          <w:rFonts w:ascii="Arial" w:hAnsi="Arial" w:cs="Arial"/>
        </w:rPr>
      </w:pPr>
      <w:r w:rsidRPr="00AD5277">
        <w:rPr>
          <w:rFonts w:ascii="Arial" w:hAnsi="Arial" w:cs="Arial"/>
        </w:rPr>
        <w:lastRenderedPageBreak/>
        <w:t xml:space="preserve">Quarterly reporting of marketing activities is required for all MMG contracts with the submission of the Quarterly Project Update/Reimbursement Request form. </w:t>
      </w:r>
      <w:r w:rsidR="00B351EF" w:rsidRPr="00AD5277">
        <w:rPr>
          <w:rFonts w:ascii="Arial" w:hAnsi="Arial" w:cs="Arial"/>
        </w:rPr>
        <w:t xml:space="preserve">This form is due each quarter to request reimbursement of project expenses; however, the form must be submitted even when no expenses were incurred. It must be filed within </w:t>
      </w:r>
      <w:r w:rsidR="00DB1C04">
        <w:rPr>
          <w:rFonts w:ascii="Arial" w:hAnsi="Arial" w:cs="Arial"/>
        </w:rPr>
        <w:t>60</w:t>
      </w:r>
      <w:r w:rsidR="00B351EF" w:rsidRPr="00AD5277">
        <w:rPr>
          <w:rFonts w:ascii="Arial" w:hAnsi="Arial" w:cs="Arial"/>
        </w:rPr>
        <w:t xml:space="preserve"> days following the end of each fiscal quarter</w:t>
      </w:r>
      <w:r w:rsidR="00A85A8B" w:rsidRPr="00AD5277">
        <w:rPr>
          <w:rFonts w:ascii="Arial" w:hAnsi="Arial" w:cs="Arial"/>
        </w:rPr>
        <w:t>.</w:t>
      </w:r>
      <w:r w:rsidR="00B351EF" w:rsidRPr="00AD5277">
        <w:rPr>
          <w:rFonts w:ascii="Arial" w:hAnsi="Arial" w:cs="Arial"/>
        </w:rPr>
        <w:t xml:space="preserve"> All certified DMOs with an approved MMG contract will receive reimbursements through electronic funds transfers. </w:t>
      </w:r>
      <w:r w:rsidR="00200915" w:rsidRPr="00AD5277">
        <w:rPr>
          <w:rFonts w:ascii="Arial" w:hAnsi="Arial" w:cs="Arial"/>
        </w:rPr>
        <w:t xml:space="preserve">Grant funds and </w:t>
      </w:r>
      <w:r w:rsidR="006624AD" w:rsidRPr="00AD5277">
        <w:rPr>
          <w:rFonts w:ascii="Arial" w:hAnsi="Arial" w:cs="Arial"/>
        </w:rPr>
        <w:t>the DMO</w:t>
      </w:r>
      <w:r w:rsidR="00200915" w:rsidRPr="00AD5277">
        <w:rPr>
          <w:rFonts w:ascii="Arial" w:hAnsi="Arial" w:cs="Arial"/>
        </w:rPr>
        <w:t xml:space="preserve"> match must be used in accordance with the itemized budget grid submitted in the approved application. </w:t>
      </w:r>
      <w:r w:rsidR="00A85A8B" w:rsidRPr="00AD5277">
        <w:rPr>
          <w:rFonts w:ascii="Arial" w:hAnsi="Arial" w:cs="Arial"/>
        </w:rPr>
        <w:t>Forms are available on the website.</w:t>
      </w:r>
    </w:p>
    <w:p w:rsidR="00B351EF" w:rsidRPr="00ED3A25" w:rsidRDefault="00B351EF" w:rsidP="00AD5277">
      <w:pPr>
        <w:spacing w:after="0" w:line="240" w:lineRule="auto"/>
        <w:rPr>
          <w:rFonts w:ascii="Arial" w:hAnsi="Arial" w:cs="Arial"/>
          <w:sz w:val="16"/>
          <w:szCs w:val="16"/>
        </w:rPr>
      </w:pPr>
    </w:p>
    <w:p w:rsidR="00D62BB8" w:rsidRPr="00AD5277" w:rsidRDefault="00B379A3" w:rsidP="00AD5277">
      <w:pPr>
        <w:spacing w:after="0" w:line="240" w:lineRule="auto"/>
        <w:rPr>
          <w:rFonts w:ascii="Arial" w:hAnsi="Arial" w:cs="Arial"/>
          <w:b/>
          <w:sz w:val="24"/>
          <w:szCs w:val="24"/>
        </w:rPr>
      </w:pPr>
      <w:r>
        <w:rPr>
          <w:rFonts w:ascii="Arial" w:hAnsi="Arial" w:cs="Arial"/>
          <w:b/>
          <w:sz w:val="24"/>
          <w:szCs w:val="24"/>
        </w:rPr>
        <w:t xml:space="preserve">If </w:t>
      </w:r>
      <w:r w:rsidR="00D62BB8" w:rsidRPr="00AD5277">
        <w:rPr>
          <w:rFonts w:ascii="Arial" w:hAnsi="Arial" w:cs="Arial"/>
          <w:b/>
          <w:sz w:val="24"/>
          <w:szCs w:val="24"/>
        </w:rPr>
        <w:t>MDT</w:t>
      </w:r>
      <w:r>
        <w:rPr>
          <w:rFonts w:ascii="Arial" w:hAnsi="Arial" w:cs="Arial"/>
          <w:b/>
          <w:sz w:val="24"/>
          <w:szCs w:val="24"/>
        </w:rPr>
        <w:t>’s</w:t>
      </w:r>
      <w:r w:rsidR="00D62BB8" w:rsidRPr="00AD5277">
        <w:rPr>
          <w:rFonts w:ascii="Arial" w:hAnsi="Arial" w:cs="Arial"/>
          <w:b/>
          <w:sz w:val="24"/>
          <w:szCs w:val="24"/>
        </w:rPr>
        <w:t xml:space="preserve"> Advertising Agency</w:t>
      </w:r>
      <w:r w:rsidR="004C34E7">
        <w:rPr>
          <w:rFonts w:ascii="Arial" w:hAnsi="Arial" w:cs="Arial"/>
          <w:b/>
          <w:sz w:val="24"/>
          <w:szCs w:val="24"/>
        </w:rPr>
        <w:t>, H&amp;L Partners,</w:t>
      </w:r>
      <w:r>
        <w:rPr>
          <w:rFonts w:ascii="Arial" w:hAnsi="Arial" w:cs="Arial"/>
          <w:b/>
          <w:sz w:val="24"/>
          <w:szCs w:val="24"/>
        </w:rPr>
        <w:t xml:space="preserve"> is used</w:t>
      </w:r>
    </w:p>
    <w:p w:rsidR="00934F8B" w:rsidRPr="00AD5277" w:rsidRDefault="004C34E7" w:rsidP="00E328A0">
      <w:pPr>
        <w:numPr>
          <w:ilvl w:val="0"/>
          <w:numId w:val="11"/>
        </w:numPr>
        <w:spacing w:after="0" w:line="240" w:lineRule="auto"/>
        <w:ind w:left="720" w:hanging="180"/>
        <w:rPr>
          <w:rFonts w:ascii="Arial" w:hAnsi="Arial" w:cs="Arial"/>
        </w:rPr>
      </w:pPr>
      <w:r>
        <w:rPr>
          <w:rFonts w:ascii="Arial" w:hAnsi="Arial" w:cs="Arial"/>
        </w:rPr>
        <w:t>H&amp;L Partners</w:t>
      </w:r>
      <w:r w:rsidR="00934F8B" w:rsidRPr="00AD5277">
        <w:rPr>
          <w:rFonts w:ascii="Arial" w:hAnsi="Arial" w:cs="Arial"/>
        </w:rPr>
        <w:t xml:space="preserve"> will provide a detailed invoice to the participant for either </w:t>
      </w:r>
      <w:r w:rsidR="00DB1C04">
        <w:rPr>
          <w:rFonts w:ascii="Arial" w:hAnsi="Arial" w:cs="Arial"/>
        </w:rPr>
        <w:t>50</w:t>
      </w:r>
      <w:r w:rsidR="006624AD" w:rsidRPr="00AD5277">
        <w:rPr>
          <w:rFonts w:ascii="Arial" w:hAnsi="Arial" w:cs="Arial"/>
        </w:rPr>
        <w:t xml:space="preserve"> percent</w:t>
      </w:r>
      <w:r w:rsidR="00934F8B" w:rsidRPr="00AD5277">
        <w:rPr>
          <w:rFonts w:ascii="Arial" w:hAnsi="Arial" w:cs="Arial"/>
        </w:rPr>
        <w:t xml:space="preserve"> or </w:t>
      </w:r>
      <w:r w:rsidR="00DB1C04">
        <w:rPr>
          <w:rFonts w:ascii="Arial" w:hAnsi="Arial" w:cs="Arial"/>
        </w:rPr>
        <w:t>100</w:t>
      </w:r>
      <w:r w:rsidR="006624AD" w:rsidRPr="00AD5277">
        <w:rPr>
          <w:rFonts w:ascii="Arial" w:hAnsi="Arial" w:cs="Arial"/>
        </w:rPr>
        <w:t xml:space="preserve"> percent</w:t>
      </w:r>
      <w:r w:rsidR="00934F8B" w:rsidRPr="00AD5277">
        <w:rPr>
          <w:rFonts w:ascii="Arial" w:hAnsi="Arial" w:cs="Arial"/>
        </w:rPr>
        <w:t xml:space="preserve"> of the cost of qualified ads, in accordance with the agreement entered into between the participant and </w:t>
      </w:r>
      <w:r w:rsidR="00502DFF">
        <w:rPr>
          <w:rFonts w:ascii="Arial" w:hAnsi="Arial" w:cs="Arial"/>
        </w:rPr>
        <w:t>H&amp;L</w:t>
      </w:r>
      <w:r w:rsidR="00934F8B" w:rsidRPr="00AD5277">
        <w:rPr>
          <w:rFonts w:ascii="Arial" w:hAnsi="Arial" w:cs="Arial"/>
        </w:rPr>
        <w:t>.</w:t>
      </w:r>
    </w:p>
    <w:p w:rsidR="00934F8B" w:rsidRPr="00AD5277" w:rsidRDefault="00934F8B" w:rsidP="00E328A0">
      <w:pPr>
        <w:pStyle w:val="BodyTextIndent"/>
        <w:numPr>
          <w:ilvl w:val="0"/>
          <w:numId w:val="11"/>
        </w:numPr>
        <w:spacing w:after="0" w:line="240" w:lineRule="auto"/>
        <w:ind w:left="720" w:hanging="180"/>
        <w:rPr>
          <w:rFonts w:ascii="Arial" w:hAnsi="Arial" w:cs="Arial"/>
        </w:rPr>
      </w:pPr>
      <w:r w:rsidRPr="00AD5277">
        <w:rPr>
          <w:rFonts w:ascii="Arial" w:hAnsi="Arial" w:cs="Arial"/>
        </w:rPr>
        <w:t xml:space="preserve">If the participant elects to be invoiced for </w:t>
      </w:r>
      <w:r w:rsidR="00DB1C04">
        <w:rPr>
          <w:rFonts w:ascii="Arial" w:hAnsi="Arial" w:cs="Arial"/>
        </w:rPr>
        <w:t>50</w:t>
      </w:r>
      <w:r w:rsidR="006624AD" w:rsidRPr="00AD5277">
        <w:rPr>
          <w:rFonts w:ascii="Arial" w:hAnsi="Arial" w:cs="Arial"/>
        </w:rPr>
        <w:t xml:space="preserve"> percent</w:t>
      </w:r>
      <w:r w:rsidRPr="00AD5277">
        <w:rPr>
          <w:rFonts w:ascii="Arial" w:hAnsi="Arial" w:cs="Arial"/>
        </w:rPr>
        <w:t xml:space="preserve">, </w:t>
      </w:r>
      <w:r w:rsidR="00502DFF">
        <w:rPr>
          <w:rFonts w:ascii="Arial" w:hAnsi="Arial" w:cs="Arial"/>
        </w:rPr>
        <w:t>H&amp;L</w:t>
      </w:r>
      <w:r w:rsidRPr="00AD5277">
        <w:rPr>
          <w:rFonts w:ascii="Arial" w:hAnsi="Arial" w:cs="Arial"/>
        </w:rPr>
        <w:t xml:space="preserve"> will provide a detailed invoice to both the participant and MDT for </w:t>
      </w:r>
      <w:r w:rsidR="00DB1C04">
        <w:rPr>
          <w:rFonts w:ascii="Arial" w:hAnsi="Arial" w:cs="Arial"/>
        </w:rPr>
        <w:t>50</w:t>
      </w:r>
      <w:r w:rsidR="006624AD" w:rsidRPr="00AD5277">
        <w:rPr>
          <w:rFonts w:ascii="Arial" w:hAnsi="Arial" w:cs="Arial"/>
        </w:rPr>
        <w:t xml:space="preserve"> percent</w:t>
      </w:r>
      <w:r w:rsidRPr="00AD5277">
        <w:rPr>
          <w:rFonts w:ascii="Arial" w:hAnsi="Arial" w:cs="Arial"/>
        </w:rPr>
        <w:t xml:space="preserve"> of the cost of qualified ads.</w:t>
      </w:r>
    </w:p>
    <w:p w:rsidR="00934F8B" w:rsidRPr="00AD5277" w:rsidRDefault="00934F8B" w:rsidP="00E328A0">
      <w:pPr>
        <w:pStyle w:val="BodyTextIndent"/>
        <w:numPr>
          <w:ilvl w:val="0"/>
          <w:numId w:val="11"/>
        </w:numPr>
        <w:spacing w:after="0" w:line="240" w:lineRule="auto"/>
        <w:ind w:left="720" w:hanging="180"/>
        <w:rPr>
          <w:rFonts w:ascii="Arial" w:hAnsi="Arial" w:cs="Arial"/>
        </w:rPr>
      </w:pPr>
      <w:r w:rsidRPr="00AD5277">
        <w:rPr>
          <w:rFonts w:ascii="Arial" w:hAnsi="Arial" w:cs="Arial"/>
        </w:rPr>
        <w:t xml:space="preserve">As a part of their billing, </w:t>
      </w:r>
      <w:r w:rsidR="00502DFF">
        <w:rPr>
          <w:rFonts w:ascii="Arial" w:hAnsi="Arial" w:cs="Arial"/>
        </w:rPr>
        <w:t>H&amp;L</w:t>
      </w:r>
      <w:r w:rsidRPr="00AD5277">
        <w:rPr>
          <w:rFonts w:ascii="Arial" w:hAnsi="Arial" w:cs="Arial"/>
        </w:rPr>
        <w:t xml:space="preserve"> will provide the invoices from the media vendor, as well as the </w:t>
      </w:r>
      <w:r w:rsidR="00B379A3">
        <w:rPr>
          <w:rFonts w:ascii="Arial" w:hAnsi="Arial" w:cs="Arial"/>
        </w:rPr>
        <w:t>appropriate proof of performance</w:t>
      </w:r>
      <w:r w:rsidRPr="00AD5277">
        <w:rPr>
          <w:rFonts w:ascii="Arial" w:hAnsi="Arial" w:cs="Arial"/>
        </w:rPr>
        <w:t>.</w:t>
      </w:r>
    </w:p>
    <w:p w:rsidR="00934F8B" w:rsidRPr="00AD5277" w:rsidRDefault="00934F8B" w:rsidP="00E328A0">
      <w:pPr>
        <w:pStyle w:val="BodyTextIndent"/>
        <w:numPr>
          <w:ilvl w:val="0"/>
          <w:numId w:val="11"/>
        </w:numPr>
        <w:spacing w:after="0" w:line="240" w:lineRule="auto"/>
        <w:ind w:left="720" w:hanging="180"/>
        <w:rPr>
          <w:rFonts w:ascii="Arial" w:hAnsi="Arial" w:cs="Arial"/>
        </w:rPr>
      </w:pPr>
      <w:r w:rsidRPr="00AD5277">
        <w:rPr>
          <w:rFonts w:ascii="Arial" w:hAnsi="Arial" w:cs="Arial"/>
        </w:rPr>
        <w:t xml:space="preserve">The participant must remit payment in full to </w:t>
      </w:r>
      <w:r w:rsidR="00502DFF">
        <w:rPr>
          <w:rFonts w:ascii="Arial" w:hAnsi="Arial" w:cs="Arial"/>
        </w:rPr>
        <w:t>H&amp;L</w:t>
      </w:r>
      <w:r w:rsidRPr="00AD5277">
        <w:rPr>
          <w:rFonts w:ascii="Arial" w:hAnsi="Arial" w:cs="Arial"/>
        </w:rPr>
        <w:t xml:space="preserve"> upon receipt of the completed billing document. </w:t>
      </w:r>
    </w:p>
    <w:p w:rsidR="00934F8B" w:rsidRPr="00AD5277" w:rsidRDefault="00934F8B" w:rsidP="00E328A0">
      <w:pPr>
        <w:numPr>
          <w:ilvl w:val="0"/>
          <w:numId w:val="11"/>
        </w:numPr>
        <w:spacing w:after="0" w:line="240" w:lineRule="auto"/>
        <w:ind w:left="720" w:hanging="180"/>
        <w:rPr>
          <w:rFonts w:ascii="Arial" w:hAnsi="Arial" w:cs="Arial"/>
        </w:rPr>
      </w:pPr>
      <w:r w:rsidRPr="00AD5277">
        <w:rPr>
          <w:rFonts w:ascii="Arial" w:hAnsi="Arial" w:cs="Arial"/>
        </w:rPr>
        <w:t>MDT will remit its share in full upon receipt</w:t>
      </w:r>
      <w:r w:rsidR="00B379A3">
        <w:rPr>
          <w:rFonts w:ascii="Arial" w:hAnsi="Arial" w:cs="Arial"/>
        </w:rPr>
        <w:t>/approval</w:t>
      </w:r>
      <w:r w:rsidRPr="00AD5277">
        <w:rPr>
          <w:rFonts w:ascii="Arial" w:hAnsi="Arial" w:cs="Arial"/>
        </w:rPr>
        <w:t xml:space="preserve"> of the complete billing document </w:t>
      </w:r>
      <w:r w:rsidR="00502DFF">
        <w:rPr>
          <w:rFonts w:ascii="Arial" w:hAnsi="Arial" w:cs="Arial"/>
        </w:rPr>
        <w:t>from H&amp;L</w:t>
      </w:r>
      <w:r w:rsidRPr="00AD5277">
        <w:rPr>
          <w:rFonts w:ascii="Arial" w:hAnsi="Arial" w:cs="Arial"/>
        </w:rPr>
        <w:t xml:space="preserve">. </w:t>
      </w:r>
    </w:p>
    <w:p w:rsidR="00AC51E4" w:rsidRPr="00ED3A25" w:rsidRDefault="00AC51E4" w:rsidP="00AD5277">
      <w:pPr>
        <w:tabs>
          <w:tab w:val="num" w:pos="810"/>
        </w:tabs>
        <w:spacing w:after="0" w:line="240" w:lineRule="auto"/>
        <w:rPr>
          <w:rFonts w:ascii="Arial" w:hAnsi="Arial" w:cs="Arial"/>
          <w:sz w:val="16"/>
          <w:szCs w:val="16"/>
        </w:rPr>
      </w:pPr>
    </w:p>
    <w:p w:rsidR="00AC51E4" w:rsidRPr="00AD5277" w:rsidRDefault="00AC51E4" w:rsidP="00AD5277">
      <w:pPr>
        <w:spacing w:after="0" w:line="240" w:lineRule="auto"/>
        <w:rPr>
          <w:rFonts w:ascii="Arial" w:hAnsi="Arial" w:cs="Arial"/>
          <w:b/>
          <w:sz w:val="24"/>
          <w:szCs w:val="24"/>
        </w:rPr>
      </w:pPr>
      <w:r w:rsidRPr="00AD5277">
        <w:rPr>
          <w:rFonts w:ascii="Arial" w:hAnsi="Arial" w:cs="Arial"/>
          <w:b/>
          <w:sz w:val="24"/>
          <w:szCs w:val="24"/>
        </w:rPr>
        <w:t xml:space="preserve">Basic Requirements for Reimbursement </w:t>
      </w:r>
    </w:p>
    <w:p w:rsidR="00E328A0" w:rsidRDefault="00AC51E4" w:rsidP="00E328A0">
      <w:pPr>
        <w:spacing w:after="0" w:line="240" w:lineRule="auto"/>
        <w:rPr>
          <w:rFonts w:ascii="Arial" w:hAnsi="Arial" w:cs="Arial"/>
        </w:rPr>
      </w:pPr>
      <w:r w:rsidRPr="00AD5277">
        <w:rPr>
          <w:rFonts w:ascii="Arial" w:hAnsi="Arial" w:cs="Arial"/>
        </w:rPr>
        <w:t>The participating DMO must first incur the approved expense and pay at least one-half of each invoice amount prior to submitting the expense to MDT for reimbursement. Invoices submitted for reimbursement must be for expenses approved in the most recent version of the</w:t>
      </w:r>
      <w:r w:rsidR="00AA1983">
        <w:rPr>
          <w:rFonts w:ascii="Arial" w:hAnsi="Arial" w:cs="Arial"/>
        </w:rPr>
        <w:t xml:space="preserve"> DMO’s</w:t>
      </w:r>
      <w:r w:rsidRPr="00AD5277">
        <w:rPr>
          <w:rFonts w:ascii="Arial" w:hAnsi="Arial" w:cs="Arial"/>
        </w:rPr>
        <w:t xml:space="preserve"> MMG Budget Grid. </w:t>
      </w:r>
    </w:p>
    <w:p w:rsidR="00E328A0" w:rsidRDefault="00E328A0" w:rsidP="00E328A0">
      <w:pPr>
        <w:spacing w:after="0" w:line="240" w:lineRule="auto"/>
        <w:rPr>
          <w:rFonts w:ascii="Arial" w:hAnsi="Arial" w:cs="Arial"/>
        </w:rPr>
      </w:pPr>
    </w:p>
    <w:p w:rsidR="00AC51E4" w:rsidRPr="00AD5277" w:rsidRDefault="00AC51E4" w:rsidP="00E328A0">
      <w:pPr>
        <w:spacing w:after="0" w:line="240" w:lineRule="auto"/>
        <w:rPr>
          <w:rFonts w:ascii="Arial" w:hAnsi="Arial" w:cs="Arial"/>
        </w:rPr>
      </w:pPr>
      <w:r w:rsidRPr="00AD5277">
        <w:rPr>
          <w:rFonts w:ascii="Arial" w:hAnsi="Arial" w:cs="Arial"/>
        </w:rPr>
        <w:t>A properly completed Quarterly Project Update/Reimbursement Request report, along with the reimbursement pap</w:t>
      </w:r>
      <w:r w:rsidR="00A85A8B" w:rsidRPr="00AD5277">
        <w:rPr>
          <w:rFonts w:ascii="Arial" w:hAnsi="Arial" w:cs="Arial"/>
        </w:rPr>
        <w:t xml:space="preserve">erwork for </w:t>
      </w:r>
      <w:r w:rsidR="00A85A8B" w:rsidRPr="00AD5277">
        <w:rPr>
          <w:rFonts w:ascii="Arial" w:hAnsi="Arial" w:cs="Arial"/>
        </w:rPr>
        <w:lastRenderedPageBreak/>
        <w:t>expenses incurred</w:t>
      </w:r>
      <w:r w:rsidR="00A57DF2">
        <w:rPr>
          <w:rFonts w:ascii="Arial" w:hAnsi="Arial" w:cs="Arial"/>
        </w:rPr>
        <w:t>,</w:t>
      </w:r>
      <w:r w:rsidRPr="00AD5277">
        <w:rPr>
          <w:rFonts w:ascii="Arial" w:hAnsi="Arial" w:cs="Arial"/>
        </w:rPr>
        <w:t xml:space="preserve"> must be postmar</w:t>
      </w:r>
      <w:r w:rsidR="00871B8F">
        <w:rPr>
          <w:rFonts w:ascii="Arial" w:hAnsi="Arial" w:cs="Arial"/>
        </w:rPr>
        <w:t>ked by the deadlines indicated on the Program Calendar</w:t>
      </w:r>
    </w:p>
    <w:p w:rsidR="00AC51E4" w:rsidRPr="00AD5277" w:rsidRDefault="00AC51E4" w:rsidP="00E328A0">
      <w:pPr>
        <w:pStyle w:val="ListParagraph"/>
        <w:numPr>
          <w:ilvl w:val="0"/>
          <w:numId w:val="12"/>
        </w:numPr>
        <w:spacing w:after="0" w:line="240" w:lineRule="auto"/>
        <w:ind w:left="720" w:hanging="180"/>
        <w:rPr>
          <w:rFonts w:ascii="Arial" w:hAnsi="Arial" w:cs="Arial"/>
        </w:rPr>
      </w:pPr>
      <w:r w:rsidRPr="00AD5277">
        <w:rPr>
          <w:rFonts w:ascii="Arial" w:hAnsi="Arial" w:cs="Arial"/>
        </w:rPr>
        <w:t>The quarterly report packet must contain the following completed forms:</w:t>
      </w:r>
    </w:p>
    <w:p w:rsidR="00AC51E4" w:rsidRPr="00AD5277" w:rsidRDefault="00AC51E4" w:rsidP="00E328A0">
      <w:pPr>
        <w:pStyle w:val="ListParagraph"/>
        <w:numPr>
          <w:ilvl w:val="1"/>
          <w:numId w:val="12"/>
        </w:numPr>
        <w:spacing w:after="0" w:line="240" w:lineRule="auto"/>
        <w:ind w:left="1080" w:hanging="180"/>
        <w:rPr>
          <w:rFonts w:ascii="Arial" w:hAnsi="Arial" w:cs="Arial"/>
        </w:rPr>
      </w:pPr>
      <w:r w:rsidRPr="00AD5277">
        <w:rPr>
          <w:rFonts w:ascii="Arial" w:hAnsi="Arial" w:cs="Arial"/>
        </w:rPr>
        <w:t>Quarterly Project Update/Reimbursement Request form</w:t>
      </w:r>
    </w:p>
    <w:p w:rsidR="00AC51E4" w:rsidRPr="00AD5277" w:rsidRDefault="00AC51E4" w:rsidP="00E328A0">
      <w:pPr>
        <w:pStyle w:val="ListParagraph"/>
        <w:numPr>
          <w:ilvl w:val="1"/>
          <w:numId w:val="12"/>
        </w:numPr>
        <w:spacing w:after="0" w:line="240" w:lineRule="auto"/>
        <w:ind w:left="1080" w:hanging="180"/>
        <w:rPr>
          <w:rFonts w:ascii="Arial" w:hAnsi="Arial" w:cs="Arial"/>
        </w:rPr>
      </w:pPr>
      <w:r w:rsidRPr="00AD5277">
        <w:rPr>
          <w:rFonts w:ascii="Arial" w:hAnsi="Arial" w:cs="Arial"/>
        </w:rPr>
        <w:t>Reimbursement Summary Sheet (if requesting reimbursement)</w:t>
      </w:r>
    </w:p>
    <w:p w:rsidR="00743DB7" w:rsidRPr="00AD5277" w:rsidRDefault="00743DB7" w:rsidP="00E328A0">
      <w:pPr>
        <w:pStyle w:val="ListParagraph"/>
        <w:numPr>
          <w:ilvl w:val="0"/>
          <w:numId w:val="12"/>
        </w:numPr>
        <w:spacing w:after="0" w:line="240" w:lineRule="auto"/>
        <w:ind w:left="720" w:hanging="180"/>
        <w:rPr>
          <w:rFonts w:ascii="Arial" w:hAnsi="Arial" w:cs="Arial"/>
        </w:rPr>
      </w:pPr>
      <w:r w:rsidRPr="00AD5277">
        <w:rPr>
          <w:rFonts w:ascii="Arial" w:hAnsi="Arial" w:cs="Arial"/>
        </w:rPr>
        <w:t>All reimbursements m</w:t>
      </w:r>
      <w:r w:rsidR="00A85A8B" w:rsidRPr="00AD5277">
        <w:rPr>
          <w:rFonts w:ascii="Arial" w:hAnsi="Arial" w:cs="Arial"/>
        </w:rPr>
        <w:t xml:space="preserve">ust include a </w:t>
      </w:r>
      <w:r w:rsidR="0070071C">
        <w:rPr>
          <w:rFonts w:ascii="Arial" w:hAnsi="Arial" w:cs="Arial"/>
        </w:rPr>
        <w:t>proof of expense</w:t>
      </w:r>
      <w:r w:rsidR="00A85A8B" w:rsidRPr="00AD5277">
        <w:rPr>
          <w:rFonts w:ascii="Arial" w:hAnsi="Arial" w:cs="Arial"/>
        </w:rPr>
        <w:t>, proof of payment</w:t>
      </w:r>
      <w:r w:rsidR="0070071C">
        <w:rPr>
          <w:rFonts w:ascii="Arial" w:hAnsi="Arial" w:cs="Arial"/>
        </w:rPr>
        <w:t xml:space="preserve"> and </w:t>
      </w:r>
      <w:r w:rsidR="00AA1983">
        <w:rPr>
          <w:rFonts w:ascii="Arial" w:hAnsi="Arial" w:cs="Arial"/>
        </w:rPr>
        <w:t>proof of performance</w:t>
      </w:r>
      <w:r w:rsidRPr="00AD5277">
        <w:rPr>
          <w:rFonts w:ascii="Arial" w:hAnsi="Arial" w:cs="Arial"/>
        </w:rPr>
        <w:t xml:space="preserve">. </w:t>
      </w:r>
    </w:p>
    <w:p w:rsidR="00B86BC7" w:rsidRDefault="00B86BC7" w:rsidP="00AD5277">
      <w:pPr>
        <w:pStyle w:val="body"/>
        <w:tabs>
          <w:tab w:val="clear" w:pos="300"/>
          <w:tab w:val="clear" w:pos="600"/>
        </w:tabs>
        <w:spacing w:after="0" w:line="240" w:lineRule="auto"/>
        <w:rPr>
          <w:rFonts w:eastAsiaTheme="minorHAnsi" w:cs="Arial"/>
          <w:snapToGrid/>
          <w:szCs w:val="22"/>
        </w:rPr>
      </w:pPr>
    </w:p>
    <w:p w:rsidR="0070071C" w:rsidRDefault="0070071C" w:rsidP="00AD5277">
      <w:pPr>
        <w:pStyle w:val="body"/>
        <w:tabs>
          <w:tab w:val="clear" w:pos="300"/>
          <w:tab w:val="clear" w:pos="600"/>
        </w:tabs>
        <w:spacing w:after="0" w:line="240" w:lineRule="auto"/>
        <w:rPr>
          <w:rFonts w:cs="Arial"/>
          <w:szCs w:val="22"/>
        </w:rPr>
      </w:pPr>
      <w:r>
        <w:rPr>
          <w:rFonts w:cs="Arial"/>
          <w:szCs w:val="22"/>
        </w:rPr>
        <w:t xml:space="preserve">Proof of </w:t>
      </w:r>
      <w:r w:rsidR="00614807">
        <w:rPr>
          <w:rFonts w:cs="Arial"/>
          <w:szCs w:val="22"/>
        </w:rPr>
        <w:t>expense</w:t>
      </w:r>
      <w:r>
        <w:rPr>
          <w:rFonts w:cs="Arial"/>
          <w:szCs w:val="22"/>
        </w:rPr>
        <w:t xml:space="preserve"> (</w:t>
      </w:r>
      <w:r w:rsidR="00743DB7" w:rsidRPr="00AD5277">
        <w:rPr>
          <w:rFonts w:cs="Arial"/>
          <w:szCs w:val="22"/>
        </w:rPr>
        <w:t>invoice</w:t>
      </w:r>
      <w:r>
        <w:rPr>
          <w:rFonts w:cs="Arial"/>
          <w:szCs w:val="22"/>
        </w:rPr>
        <w:t>)</w:t>
      </w:r>
      <w:r w:rsidR="00743DB7" w:rsidRPr="00AD5277">
        <w:rPr>
          <w:rFonts w:cs="Arial"/>
          <w:szCs w:val="22"/>
        </w:rPr>
        <w:t xml:space="preserve"> is required for each a</w:t>
      </w:r>
      <w:r w:rsidR="00B86BC7">
        <w:rPr>
          <w:rFonts w:cs="Arial"/>
          <w:szCs w:val="22"/>
        </w:rPr>
        <w:t>d placed.</w:t>
      </w:r>
    </w:p>
    <w:p w:rsidR="00743DB7" w:rsidRPr="00AD5277" w:rsidRDefault="00743DB7" w:rsidP="0070071C">
      <w:pPr>
        <w:pStyle w:val="body"/>
        <w:numPr>
          <w:ilvl w:val="0"/>
          <w:numId w:val="30"/>
        </w:numPr>
        <w:tabs>
          <w:tab w:val="clear" w:pos="300"/>
          <w:tab w:val="clear" w:pos="600"/>
        </w:tabs>
        <w:spacing w:after="0" w:line="240" w:lineRule="auto"/>
        <w:rPr>
          <w:rFonts w:cs="Arial"/>
          <w:szCs w:val="22"/>
        </w:rPr>
      </w:pPr>
      <w:r w:rsidRPr="00AD5277">
        <w:rPr>
          <w:rFonts w:cs="Arial"/>
          <w:szCs w:val="22"/>
        </w:rPr>
        <w:t xml:space="preserve">The </w:t>
      </w:r>
      <w:r w:rsidRPr="006C0D52">
        <w:rPr>
          <w:rFonts w:cs="Arial"/>
          <w:szCs w:val="22"/>
        </w:rPr>
        <w:t>invoice must show the participant as the “bill to” organization, contain the name and address of the vendor providing</w:t>
      </w:r>
      <w:r w:rsidRPr="00AD5277">
        <w:rPr>
          <w:rFonts w:cs="Arial"/>
          <w:szCs w:val="22"/>
        </w:rPr>
        <w:t xml:space="preserve"> the service, provide an itemized detail of the service provided (including dates of service or date cost incurred), </w:t>
      </w:r>
      <w:r w:rsidR="007340F4">
        <w:rPr>
          <w:rFonts w:cs="Arial"/>
          <w:szCs w:val="22"/>
        </w:rPr>
        <w:t>and include</w:t>
      </w:r>
      <w:r w:rsidRPr="00AD5277">
        <w:rPr>
          <w:rFonts w:cs="Arial"/>
          <w:szCs w:val="22"/>
        </w:rPr>
        <w:t xml:space="preserve"> the total cost. </w:t>
      </w:r>
    </w:p>
    <w:p w:rsidR="00743DB7" w:rsidRDefault="00743DB7" w:rsidP="0070071C">
      <w:pPr>
        <w:pStyle w:val="body"/>
        <w:numPr>
          <w:ilvl w:val="0"/>
          <w:numId w:val="30"/>
        </w:numPr>
        <w:tabs>
          <w:tab w:val="clear" w:pos="300"/>
          <w:tab w:val="clear" w:pos="600"/>
        </w:tabs>
        <w:spacing w:after="0" w:line="240" w:lineRule="auto"/>
        <w:rPr>
          <w:rFonts w:cs="Arial"/>
          <w:szCs w:val="22"/>
        </w:rPr>
      </w:pPr>
      <w:r w:rsidRPr="00AD5277">
        <w:rPr>
          <w:rFonts w:cs="Arial"/>
          <w:szCs w:val="22"/>
        </w:rPr>
        <w:t>When services are provided through an advertising agency, an invoice is required from the vendor to the ad agency</w:t>
      </w:r>
      <w:r w:rsidR="00871B8F">
        <w:rPr>
          <w:rFonts w:cs="Arial"/>
          <w:szCs w:val="22"/>
        </w:rPr>
        <w:t xml:space="preserve"> AND</w:t>
      </w:r>
      <w:r w:rsidRPr="00AD5277">
        <w:rPr>
          <w:rFonts w:cs="Arial"/>
          <w:szCs w:val="22"/>
        </w:rPr>
        <w:t xml:space="preserve"> an invoice from the ad agency to the participant for each expense.</w:t>
      </w:r>
    </w:p>
    <w:p w:rsidR="00960D8C" w:rsidRDefault="00960D8C" w:rsidP="00960D8C">
      <w:pPr>
        <w:pStyle w:val="body"/>
        <w:tabs>
          <w:tab w:val="clear" w:pos="300"/>
          <w:tab w:val="clear" w:pos="600"/>
        </w:tabs>
        <w:spacing w:after="0" w:line="240" w:lineRule="auto"/>
        <w:ind w:left="720"/>
        <w:rPr>
          <w:rFonts w:cs="Arial"/>
          <w:szCs w:val="22"/>
        </w:rPr>
      </w:pPr>
    </w:p>
    <w:p w:rsidR="007B6CE8" w:rsidRPr="006C0D52" w:rsidRDefault="00743DB7" w:rsidP="00AD5277">
      <w:pPr>
        <w:pStyle w:val="body"/>
        <w:tabs>
          <w:tab w:val="clear" w:pos="300"/>
          <w:tab w:val="clear" w:pos="600"/>
        </w:tabs>
        <w:spacing w:after="0" w:line="240" w:lineRule="auto"/>
        <w:rPr>
          <w:rFonts w:cs="Arial"/>
          <w:szCs w:val="22"/>
        </w:rPr>
      </w:pPr>
      <w:r w:rsidRPr="006C0D52">
        <w:rPr>
          <w:rFonts w:cs="Arial"/>
          <w:szCs w:val="22"/>
        </w:rPr>
        <w:t xml:space="preserve">Proof of the participant’s payment is required. </w:t>
      </w:r>
    </w:p>
    <w:p w:rsidR="00743DB7" w:rsidRPr="006C0D52" w:rsidRDefault="00743DB7" w:rsidP="00960D8C">
      <w:pPr>
        <w:pStyle w:val="body"/>
        <w:numPr>
          <w:ilvl w:val="0"/>
          <w:numId w:val="24"/>
        </w:numPr>
        <w:tabs>
          <w:tab w:val="clear" w:pos="300"/>
          <w:tab w:val="clear" w:pos="600"/>
        </w:tabs>
        <w:spacing w:after="0" w:line="240" w:lineRule="auto"/>
        <w:ind w:left="720" w:hanging="180"/>
        <w:rPr>
          <w:rFonts w:cs="Arial"/>
          <w:szCs w:val="22"/>
        </w:rPr>
      </w:pPr>
      <w:r w:rsidRPr="006C0D52">
        <w:rPr>
          <w:rFonts w:cs="Arial"/>
          <w:szCs w:val="22"/>
        </w:rPr>
        <w:t xml:space="preserve">Checks must be written from the participants’ account for at least </w:t>
      </w:r>
      <w:r w:rsidR="00DB1C04">
        <w:rPr>
          <w:rFonts w:cs="Arial"/>
          <w:szCs w:val="22"/>
        </w:rPr>
        <w:t>50</w:t>
      </w:r>
      <w:r w:rsidR="006624AD" w:rsidRPr="006C0D52">
        <w:rPr>
          <w:rFonts w:cs="Arial"/>
          <w:szCs w:val="22"/>
        </w:rPr>
        <w:t xml:space="preserve"> percent</w:t>
      </w:r>
      <w:r w:rsidRPr="006C0D52">
        <w:rPr>
          <w:rFonts w:cs="Arial"/>
          <w:szCs w:val="22"/>
        </w:rPr>
        <w:t xml:space="preserve"> of the charge for the service invoiced. If the check covers more than one expense, include a copy of the check detail. </w:t>
      </w:r>
    </w:p>
    <w:p w:rsidR="007B6CE8" w:rsidRPr="006C0D52" w:rsidRDefault="007B6CE8" w:rsidP="00960D8C">
      <w:pPr>
        <w:pStyle w:val="body"/>
        <w:numPr>
          <w:ilvl w:val="0"/>
          <w:numId w:val="24"/>
        </w:numPr>
        <w:tabs>
          <w:tab w:val="clear" w:pos="300"/>
          <w:tab w:val="clear" w:pos="600"/>
        </w:tabs>
        <w:spacing w:after="0" w:line="240" w:lineRule="auto"/>
        <w:ind w:left="720" w:hanging="180"/>
        <w:rPr>
          <w:rFonts w:cs="Arial"/>
          <w:szCs w:val="22"/>
        </w:rPr>
      </w:pPr>
      <w:r w:rsidRPr="006C0D52">
        <w:rPr>
          <w:rFonts w:cs="Arial"/>
          <w:szCs w:val="22"/>
        </w:rPr>
        <w:t>Credit card payments must include a copy of the credit card statement detailing the reimbursable expense. All other expenses must be</w:t>
      </w:r>
      <w:r w:rsidR="00C15BA5" w:rsidRPr="006C0D52">
        <w:rPr>
          <w:rFonts w:cs="Arial"/>
          <w:szCs w:val="22"/>
        </w:rPr>
        <w:t xml:space="preserve"> redacted from the statement. </w:t>
      </w:r>
    </w:p>
    <w:p w:rsidR="00743DB7" w:rsidRPr="006C0D52" w:rsidRDefault="00743DB7" w:rsidP="00960D8C">
      <w:pPr>
        <w:pStyle w:val="body"/>
        <w:numPr>
          <w:ilvl w:val="1"/>
          <w:numId w:val="25"/>
        </w:numPr>
        <w:tabs>
          <w:tab w:val="clear" w:pos="300"/>
          <w:tab w:val="clear" w:pos="600"/>
        </w:tabs>
        <w:spacing w:after="0" w:line="240" w:lineRule="auto"/>
        <w:ind w:left="720" w:hanging="180"/>
        <w:rPr>
          <w:rFonts w:cs="Arial"/>
          <w:szCs w:val="22"/>
        </w:rPr>
      </w:pPr>
      <w:r w:rsidRPr="006C0D52">
        <w:rPr>
          <w:rFonts w:cs="Arial"/>
          <w:szCs w:val="22"/>
        </w:rPr>
        <w:t xml:space="preserve">When services are provided through an advertising agency, </w:t>
      </w:r>
      <w:r w:rsidR="007B6CE8" w:rsidRPr="006C0D52">
        <w:rPr>
          <w:rFonts w:cs="Arial"/>
          <w:szCs w:val="22"/>
        </w:rPr>
        <w:t>proof of payment</w:t>
      </w:r>
      <w:r w:rsidRPr="006C0D52">
        <w:rPr>
          <w:rFonts w:cs="Arial"/>
          <w:szCs w:val="22"/>
        </w:rPr>
        <w:t xml:space="preserve"> from the p</w:t>
      </w:r>
      <w:r w:rsidR="007B6CE8" w:rsidRPr="006C0D52">
        <w:rPr>
          <w:rFonts w:cs="Arial"/>
          <w:szCs w:val="22"/>
        </w:rPr>
        <w:t>articipant to the ad agency AND proof of payment</w:t>
      </w:r>
      <w:r w:rsidRPr="006C0D52">
        <w:rPr>
          <w:rFonts w:cs="Arial"/>
          <w:szCs w:val="22"/>
        </w:rPr>
        <w:t xml:space="preserve"> from the ad agency to the vendor must be submitted.</w:t>
      </w:r>
    </w:p>
    <w:p w:rsidR="00934F8B" w:rsidRPr="00AD5277" w:rsidRDefault="00934F8B" w:rsidP="00AD5277">
      <w:pPr>
        <w:spacing w:after="0" w:line="240" w:lineRule="auto"/>
        <w:rPr>
          <w:rFonts w:ascii="Arial" w:hAnsi="Arial" w:cs="Arial"/>
          <w:b/>
        </w:rPr>
      </w:pPr>
    </w:p>
    <w:p w:rsidR="00960F47" w:rsidRPr="0070071C" w:rsidRDefault="0070071C" w:rsidP="00AD5277">
      <w:pPr>
        <w:spacing w:after="0" w:line="240" w:lineRule="auto"/>
        <w:rPr>
          <w:rFonts w:ascii="Arial" w:hAnsi="Arial" w:cs="Arial"/>
        </w:rPr>
      </w:pPr>
      <w:r>
        <w:rPr>
          <w:rFonts w:ascii="Arial" w:hAnsi="Arial" w:cs="Arial"/>
        </w:rPr>
        <w:t>P</w:t>
      </w:r>
      <w:r w:rsidR="00A420D9" w:rsidRPr="0070071C">
        <w:rPr>
          <w:rFonts w:ascii="Arial" w:hAnsi="Arial" w:cs="Arial"/>
        </w:rPr>
        <w:t xml:space="preserve">roof of </w:t>
      </w:r>
      <w:r w:rsidRPr="0070071C">
        <w:rPr>
          <w:rFonts w:ascii="Arial" w:hAnsi="Arial" w:cs="Arial"/>
        </w:rPr>
        <w:t>performance documentation is detailed in the Quarterly Reimbursement Report information.</w:t>
      </w:r>
      <w:r w:rsidR="00722091" w:rsidRPr="0070071C">
        <w:rPr>
          <w:rFonts w:ascii="Arial" w:hAnsi="Arial" w:cs="Arial"/>
        </w:rPr>
        <w:t xml:space="preserve"> </w:t>
      </w:r>
    </w:p>
    <w:p w:rsidR="005769F9" w:rsidRPr="0070071C" w:rsidRDefault="005769F9" w:rsidP="0070071C">
      <w:pPr>
        <w:pStyle w:val="ListParagraph"/>
        <w:spacing w:after="0" w:line="240" w:lineRule="auto"/>
        <w:rPr>
          <w:rFonts w:ascii="Arial" w:hAnsi="Arial" w:cs="Arial"/>
          <w:sz w:val="16"/>
          <w:szCs w:val="16"/>
        </w:rPr>
      </w:pPr>
    </w:p>
    <w:p w:rsidR="009368DC" w:rsidRDefault="009368DC" w:rsidP="00AD5277">
      <w:pPr>
        <w:spacing w:after="0" w:line="240" w:lineRule="auto"/>
        <w:rPr>
          <w:rFonts w:ascii="Arial" w:hAnsi="Arial" w:cs="Arial"/>
          <w:b/>
          <w:sz w:val="24"/>
          <w:szCs w:val="24"/>
          <w:u w:val="single"/>
        </w:rPr>
      </w:pPr>
    </w:p>
    <w:p w:rsidR="009368DC" w:rsidRDefault="009368DC" w:rsidP="00AD5277">
      <w:pPr>
        <w:spacing w:after="0" w:line="240" w:lineRule="auto"/>
        <w:rPr>
          <w:rFonts w:ascii="Arial" w:hAnsi="Arial" w:cs="Arial"/>
          <w:b/>
          <w:sz w:val="24"/>
          <w:szCs w:val="24"/>
          <w:u w:val="single"/>
        </w:rPr>
      </w:pPr>
    </w:p>
    <w:p w:rsidR="00AD5277" w:rsidRDefault="00AD5277" w:rsidP="00AD5277">
      <w:pPr>
        <w:spacing w:after="0" w:line="240" w:lineRule="auto"/>
        <w:rPr>
          <w:rFonts w:ascii="Arial" w:hAnsi="Arial" w:cs="Arial"/>
          <w:b/>
          <w:sz w:val="24"/>
          <w:szCs w:val="24"/>
          <w:u w:val="single"/>
        </w:rPr>
      </w:pPr>
      <w:r>
        <w:rPr>
          <w:rFonts w:ascii="Arial" w:hAnsi="Arial" w:cs="Arial"/>
          <w:b/>
          <w:sz w:val="24"/>
          <w:szCs w:val="24"/>
          <w:u w:val="single"/>
        </w:rPr>
        <w:t>MMG Reporting Requirements</w:t>
      </w:r>
    </w:p>
    <w:p w:rsidR="00AD5277" w:rsidRPr="00ED3A25" w:rsidRDefault="00AD5277" w:rsidP="00AD5277">
      <w:pPr>
        <w:spacing w:after="0" w:line="240" w:lineRule="auto"/>
        <w:rPr>
          <w:rFonts w:ascii="Arial" w:hAnsi="Arial" w:cs="Arial"/>
          <w:b/>
          <w:sz w:val="16"/>
          <w:szCs w:val="16"/>
          <w:u w:val="single"/>
        </w:rPr>
      </w:pPr>
    </w:p>
    <w:p w:rsidR="00120394" w:rsidRPr="00AD5277" w:rsidRDefault="00120394" w:rsidP="00AD5277">
      <w:pPr>
        <w:spacing w:after="0" w:line="240" w:lineRule="auto"/>
        <w:rPr>
          <w:rFonts w:ascii="Arial" w:hAnsi="Arial" w:cs="Arial"/>
          <w:b/>
          <w:sz w:val="24"/>
          <w:szCs w:val="24"/>
        </w:rPr>
      </w:pPr>
      <w:r w:rsidRPr="00AD5277">
        <w:rPr>
          <w:rFonts w:ascii="Arial" w:hAnsi="Arial" w:cs="Arial"/>
          <w:b/>
          <w:sz w:val="24"/>
          <w:szCs w:val="24"/>
        </w:rPr>
        <w:t xml:space="preserve">Project Summary </w:t>
      </w:r>
    </w:p>
    <w:p w:rsidR="00BD2591" w:rsidRPr="00AD5277" w:rsidRDefault="00BD2591" w:rsidP="00AD5277">
      <w:pPr>
        <w:spacing w:after="0" w:line="240" w:lineRule="auto"/>
        <w:rPr>
          <w:rFonts w:ascii="Arial" w:hAnsi="Arial" w:cs="Arial"/>
        </w:rPr>
      </w:pPr>
      <w:r w:rsidRPr="00AD5277">
        <w:rPr>
          <w:rFonts w:ascii="Arial" w:hAnsi="Arial" w:cs="Arial"/>
        </w:rPr>
        <w:t>All program applicants are required to submit the Project Summary Report assessing the success of the funded project. Failure to provide the required reports may result in the participant’s suspension from the program. Applications for future funding will not be accepted f</w:t>
      </w:r>
      <w:r w:rsidR="00871B8F">
        <w:rPr>
          <w:rFonts w:ascii="Arial" w:hAnsi="Arial" w:cs="Arial"/>
        </w:rPr>
        <w:t>rom</w:t>
      </w:r>
      <w:r w:rsidRPr="00AD5277">
        <w:rPr>
          <w:rFonts w:ascii="Arial" w:hAnsi="Arial" w:cs="Arial"/>
        </w:rPr>
        <w:t xml:space="preserve"> DMOs with an outstanding </w:t>
      </w:r>
      <w:r w:rsidR="00B46010" w:rsidRPr="00AD5277">
        <w:rPr>
          <w:rFonts w:ascii="Arial" w:hAnsi="Arial" w:cs="Arial"/>
        </w:rPr>
        <w:t xml:space="preserve">or untimely summary report. The Project Summary Report is available on the website. </w:t>
      </w:r>
    </w:p>
    <w:p w:rsidR="00BD2591" w:rsidRPr="00ED3A25" w:rsidRDefault="00BD2591" w:rsidP="00AD5277">
      <w:pPr>
        <w:spacing w:after="0" w:line="240" w:lineRule="auto"/>
        <w:rPr>
          <w:rFonts w:ascii="Arial" w:hAnsi="Arial" w:cs="Arial"/>
          <w:b/>
          <w:sz w:val="16"/>
          <w:szCs w:val="16"/>
        </w:rPr>
      </w:pPr>
    </w:p>
    <w:p w:rsidR="00120394" w:rsidRPr="00AD5277" w:rsidRDefault="00120394" w:rsidP="00AD5277">
      <w:pPr>
        <w:spacing w:after="0" w:line="240" w:lineRule="auto"/>
        <w:rPr>
          <w:rFonts w:ascii="Arial" w:hAnsi="Arial" w:cs="Arial"/>
          <w:b/>
          <w:sz w:val="24"/>
          <w:szCs w:val="24"/>
        </w:rPr>
      </w:pPr>
      <w:r w:rsidRPr="00AD5277">
        <w:rPr>
          <w:rFonts w:ascii="Arial" w:hAnsi="Arial" w:cs="Arial"/>
          <w:b/>
          <w:sz w:val="24"/>
          <w:szCs w:val="24"/>
        </w:rPr>
        <w:t>Contract Review</w:t>
      </w:r>
    </w:p>
    <w:p w:rsidR="005C1A1C" w:rsidRPr="00AD5277" w:rsidRDefault="00B46010" w:rsidP="00AD5277">
      <w:pPr>
        <w:spacing w:after="0" w:line="240" w:lineRule="auto"/>
        <w:rPr>
          <w:rFonts w:ascii="Arial" w:hAnsi="Arial" w:cs="Arial"/>
        </w:rPr>
      </w:pPr>
      <w:r w:rsidRPr="00AD5277">
        <w:rPr>
          <w:rFonts w:ascii="Arial" w:hAnsi="Arial" w:cs="Arial"/>
        </w:rPr>
        <w:t>Following the receipt of the Project Summary Report, each contract is reviewed for completeness. Participants are required to provide a written explanation detailing the circumstances surrounding the unsuccessful project completion if:</w:t>
      </w:r>
    </w:p>
    <w:p w:rsidR="00B46010" w:rsidRPr="00AD5277" w:rsidRDefault="00B46010" w:rsidP="00960D8C">
      <w:pPr>
        <w:pStyle w:val="ListParagraph"/>
        <w:numPr>
          <w:ilvl w:val="0"/>
          <w:numId w:val="20"/>
        </w:numPr>
        <w:spacing w:after="0" w:line="240" w:lineRule="auto"/>
        <w:ind w:hanging="180"/>
        <w:rPr>
          <w:rFonts w:ascii="Arial" w:hAnsi="Arial" w:cs="Arial"/>
        </w:rPr>
      </w:pPr>
      <w:r w:rsidRPr="00AD5277">
        <w:rPr>
          <w:rFonts w:ascii="Arial" w:hAnsi="Arial" w:cs="Arial"/>
        </w:rPr>
        <w:t xml:space="preserve">The usage of awarded funds falls below </w:t>
      </w:r>
      <w:r w:rsidR="00DB1C04">
        <w:rPr>
          <w:rFonts w:ascii="Arial" w:hAnsi="Arial" w:cs="Arial"/>
        </w:rPr>
        <w:t>85</w:t>
      </w:r>
      <w:r w:rsidR="006624AD" w:rsidRPr="00AD5277">
        <w:rPr>
          <w:rFonts w:ascii="Arial" w:hAnsi="Arial" w:cs="Arial"/>
        </w:rPr>
        <w:t xml:space="preserve"> percent</w:t>
      </w:r>
    </w:p>
    <w:p w:rsidR="00B46010" w:rsidRPr="00AD5277" w:rsidRDefault="00B46010" w:rsidP="00960D8C">
      <w:pPr>
        <w:pStyle w:val="ListParagraph"/>
        <w:numPr>
          <w:ilvl w:val="0"/>
          <w:numId w:val="20"/>
        </w:numPr>
        <w:spacing w:after="0" w:line="240" w:lineRule="auto"/>
        <w:ind w:hanging="180"/>
        <w:rPr>
          <w:rFonts w:ascii="Arial" w:hAnsi="Arial" w:cs="Arial"/>
        </w:rPr>
      </w:pPr>
      <w:r w:rsidRPr="00AD5277">
        <w:rPr>
          <w:rFonts w:ascii="Arial" w:hAnsi="Arial" w:cs="Arial"/>
        </w:rPr>
        <w:t xml:space="preserve">Less than </w:t>
      </w:r>
      <w:r w:rsidR="00DB1C04">
        <w:rPr>
          <w:rFonts w:ascii="Arial" w:hAnsi="Arial" w:cs="Arial"/>
        </w:rPr>
        <w:t>85</w:t>
      </w:r>
      <w:r w:rsidR="006624AD" w:rsidRPr="00AD5277">
        <w:rPr>
          <w:rFonts w:ascii="Arial" w:hAnsi="Arial" w:cs="Arial"/>
        </w:rPr>
        <w:t xml:space="preserve"> percent</w:t>
      </w:r>
      <w:r w:rsidRPr="00AD5277">
        <w:rPr>
          <w:rFonts w:ascii="Arial" w:hAnsi="Arial" w:cs="Arial"/>
        </w:rPr>
        <w:t xml:space="preserve"> of the approved marketing activities were completed</w:t>
      </w:r>
    </w:p>
    <w:p w:rsidR="00B46010" w:rsidRPr="00AD5277" w:rsidRDefault="00B46010" w:rsidP="00960D8C">
      <w:pPr>
        <w:pStyle w:val="ListParagraph"/>
        <w:numPr>
          <w:ilvl w:val="0"/>
          <w:numId w:val="20"/>
        </w:numPr>
        <w:spacing w:after="0" w:line="240" w:lineRule="auto"/>
        <w:ind w:hanging="180"/>
        <w:rPr>
          <w:rFonts w:ascii="Arial" w:hAnsi="Arial" w:cs="Arial"/>
          <w:b/>
        </w:rPr>
      </w:pPr>
      <w:r w:rsidRPr="00AD5277">
        <w:rPr>
          <w:rFonts w:ascii="Arial" w:hAnsi="Arial" w:cs="Arial"/>
        </w:rPr>
        <w:t>The Project Summary Report was not completed and received by the deadline</w:t>
      </w:r>
    </w:p>
    <w:p w:rsidR="00B46010" w:rsidRPr="00AD5277" w:rsidRDefault="00B46010" w:rsidP="00AD5277">
      <w:pPr>
        <w:spacing w:after="0" w:line="240" w:lineRule="auto"/>
        <w:rPr>
          <w:rFonts w:ascii="Arial" w:hAnsi="Arial" w:cs="Arial"/>
          <w:b/>
        </w:rPr>
      </w:pPr>
    </w:p>
    <w:p w:rsidR="00B46010" w:rsidRPr="00AD5277" w:rsidRDefault="00B46010" w:rsidP="00AD5277">
      <w:pPr>
        <w:spacing w:after="0" w:line="240" w:lineRule="auto"/>
        <w:rPr>
          <w:rFonts w:ascii="Arial" w:hAnsi="Arial" w:cs="Arial"/>
        </w:rPr>
      </w:pPr>
      <w:r w:rsidRPr="00AD5277">
        <w:rPr>
          <w:rFonts w:ascii="Arial" w:hAnsi="Arial" w:cs="Arial"/>
        </w:rPr>
        <w:t xml:space="preserve">Failure to complete contract requirements </w:t>
      </w:r>
      <w:r w:rsidR="00AA1983">
        <w:rPr>
          <w:rFonts w:ascii="Arial" w:hAnsi="Arial" w:cs="Arial"/>
        </w:rPr>
        <w:t>could</w:t>
      </w:r>
      <w:r w:rsidRPr="00AD5277">
        <w:rPr>
          <w:rFonts w:ascii="Arial" w:hAnsi="Arial" w:cs="Arial"/>
        </w:rPr>
        <w:t xml:space="preserve"> result in one of the following actions:</w:t>
      </w:r>
    </w:p>
    <w:p w:rsidR="00B46010" w:rsidRPr="00AD5277" w:rsidRDefault="00B46010" w:rsidP="00960D8C">
      <w:pPr>
        <w:pStyle w:val="ListParagraph"/>
        <w:numPr>
          <w:ilvl w:val="0"/>
          <w:numId w:val="21"/>
        </w:numPr>
        <w:spacing w:after="0" w:line="240" w:lineRule="auto"/>
        <w:ind w:hanging="180"/>
        <w:rPr>
          <w:rFonts w:ascii="Arial" w:hAnsi="Arial" w:cs="Arial"/>
        </w:rPr>
      </w:pPr>
      <w:r w:rsidRPr="00AD5277">
        <w:rPr>
          <w:rFonts w:ascii="Arial" w:hAnsi="Arial" w:cs="Arial"/>
        </w:rPr>
        <w:t>A written warning</w:t>
      </w:r>
    </w:p>
    <w:p w:rsidR="00B46010" w:rsidRPr="00AD5277" w:rsidRDefault="00B46010" w:rsidP="00960D8C">
      <w:pPr>
        <w:pStyle w:val="ListParagraph"/>
        <w:numPr>
          <w:ilvl w:val="0"/>
          <w:numId w:val="21"/>
        </w:numPr>
        <w:spacing w:after="0" w:line="240" w:lineRule="auto"/>
        <w:ind w:hanging="180"/>
        <w:rPr>
          <w:rFonts w:ascii="Arial" w:hAnsi="Arial" w:cs="Arial"/>
        </w:rPr>
      </w:pPr>
      <w:r w:rsidRPr="00AD5277">
        <w:rPr>
          <w:rFonts w:ascii="Arial" w:hAnsi="Arial" w:cs="Arial"/>
        </w:rPr>
        <w:t>A one-year suspension from participation in the MMG Program</w:t>
      </w:r>
    </w:p>
    <w:p w:rsidR="00B46010" w:rsidRPr="00AD5277" w:rsidRDefault="00B46010" w:rsidP="00960D8C">
      <w:pPr>
        <w:pStyle w:val="ListParagraph"/>
        <w:numPr>
          <w:ilvl w:val="0"/>
          <w:numId w:val="21"/>
        </w:numPr>
        <w:spacing w:after="0" w:line="240" w:lineRule="auto"/>
        <w:ind w:hanging="180"/>
        <w:rPr>
          <w:rFonts w:ascii="Arial" w:hAnsi="Arial" w:cs="Arial"/>
        </w:rPr>
      </w:pPr>
      <w:r w:rsidRPr="00AD5277">
        <w:rPr>
          <w:rFonts w:ascii="Arial" w:hAnsi="Arial" w:cs="Arial"/>
        </w:rPr>
        <w:t xml:space="preserve">Revocation of certification </w:t>
      </w:r>
    </w:p>
    <w:p w:rsidR="004E4CDF" w:rsidRPr="00AD5277" w:rsidRDefault="004E4CDF" w:rsidP="00AD5277">
      <w:pPr>
        <w:spacing w:after="0" w:line="240" w:lineRule="auto"/>
        <w:rPr>
          <w:rFonts w:ascii="Arial" w:hAnsi="Arial" w:cs="Arial"/>
        </w:rPr>
      </w:pPr>
    </w:p>
    <w:sectPr w:rsidR="004E4CDF" w:rsidRPr="00AD5277" w:rsidSect="00787FD6">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04" w:rsidRDefault="00DB1C04" w:rsidP="00787FD6">
      <w:pPr>
        <w:spacing w:after="0" w:line="240" w:lineRule="auto"/>
      </w:pPr>
      <w:r>
        <w:separator/>
      </w:r>
    </w:p>
  </w:endnote>
  <w:endnote w:type="continuationSeparator" w:id="0">
    <w:p w:rsidR="00DB1C04" w:rsidRDefault="00DB1C04" w:rsidP="0078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utura Lt BT">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978746"/>
      <w:docPartObj>
        <w:docPartGallery w:val="Page Numbers (Bottom of Page)"/>
        <w:docPartUnique/>
      </w:docPartObj>
    </w:sdtPr>
    <w:sdtEndPr>
      <w:rPr>
        <w:color w:val="7F7F7F" w:themeColor="text1" w:themeTint="80"/>
      </w:rPr>
    </w:sdtEndPr>
    <w:sdtContent>
      <w:sdt>
        <w:sdtPr>
          <w:rPr>
            <w:color w:val="7F7F7F" w:themeColor="text1" w:themeTint="80"/>
          </w:rPr>
          <w:id w:val="98381352"/>
          <w:docPartObj>
            <w:docPartGallery w:val="Page Numbers (Top of Page)"/>
            <w:docPartUnique/>
          </w:docPartObj>
        </w:sdtPr>
        <w:sdtEndPr/>
        <w:sdtContent>
          <w:p w:rsidR="00871B8F" w:rsidRPr="00871B8F" w:rsidRDefault="00871B8F">
            <w:pPr>
              <w:pStyle w:val="Footer"/>
              <w:rPr>
                <w:color w:val="7F7F7F" w:themeColor="text1" w:themeTint="80"/>
              </w:rPr>
            </w:pPr>
            <w:r w:rsidRPr="00871B8F">
              <w:rPr>
                <w:color w:val="7F7F7F" w:themeColor="text1" w:themeTint="80"/>
              </w:rPr>
              <w:t xml:space="preserve">Page </w:t>
            </w:r>
            <w:r w:rsidR="00447BAB" w:rsidRPr="00871B8F">
              <w:rPr>
                <w:b/>
                <w:color w:val="7F7F7F" w:themeColor="text1" w:themeTint="80"/>
                <w:sz w:val="24"/>
                <w:szCs w:val="24"/>
              </w:rPr>
              <w:fldChar w:fldCharType="begin"/>
            </w:r>
            <w:r w:rsidRPr="00871B8F">
              <w:rPr>
                <w:b/>
                <w:color w:val="7F7F7F" w:themeColor="text1" w:themeTint="80"/>
              </w:rPr>
              <w:instrText xml:space="preserve"> PAGE </w:instrText>
            </w:r>
            <w:r w:rsidR="00447BAB" w:rsidRPr="00871B8F">
              <w:rPr>
                <w:b/>
                <w:color w:val="7F7F7F" w:themeColor="text1" w:themeTint="80"/>
                <w:sz w:val="24"/>
                <w:szCs w:val="24"/>
              </w:rPr>
              <w:fldChar w:fldCharType="separate"/>
            </w:r>
            <w:r w:rsidR="00A211B7">
              <w:rPr>
                <w:b/>
                <w:noProof/>
                <w:color w:val="7F7F7F" w:themeColor="text1" w:themeTint="80"/>
              </w:rPr>
              <w:t>2</w:t>
            </w:r>
            <w:r w:rsidR="00447BAB" w:rsidRPr="00871B8F">
              <w:rPr>
                <w:b/>
                <w:color w:val="7F7F7F" w:themeColor="text1" w:themeTint="80"/>
                <w:sz w:val="24"/>
                <w:szCs w:val="24"/>
              </w:rPr>
              <w:fldChar w:fldCharType="end"/>
            </w:r>
            <w:r w:rsidRPr="00871B8F">
              <w:rPr>
                <w:color w:val="7F7F7F" w:themeColor="text1" w:themeTint="80"/>
              </w:rPr>
              <w:t xml:space="preserve"> of </w:t>
            </w:r>
            <w:r w:rsidR="00447BAB" w:rsidRPr="00871B8F">
              <w:rPr>
                <w:b/>
                <w:color w:val="7F7F7F" w:themeColor="text1" w:themeTint="80"/>
                <w:sz w:val="24"/>
                <w:szCs w:val="24"/>
              </w:rPr>
              <w:fldChar w:fldCharType="begin"/>
            </w:r>
            <w:r w:rsidRPr="00871B8F">
              <w:rPr>
                <w:b/>
                <w:color w:val="7F7F7F" w:themeColor="text1" w:themeTint="80"/>
              </w:rPr>
              <w:instrText xml:space="preserve"> NUMPAGES  </w:instrText>
            </w:r>
            <w:r w:rsidR="00447BAB" w:rsidRPr="00871B8F">
              <w:rPr>
                <w:b/>
                <w:color w:val="7F7F7F" w:themeColor="text1" w:themeTint="80"/>
                <w:sz w:val="24"/>
                <w:szCs w:val="24"/>
              </w:rPr>
              <w:fldChar w:fldCharType="separate"/>
            </w:r>
            <w:r w:rsidR="00A211B7">
              <w:rPr>
                <w:b/>
                <w:noProof/>
                <w:color w:val="7F7F7F" w:themeColor="text1" w:themeTint="80"/>
              </w:rPr>
              <w:t>13</w:t>
            </w:r>
            <w:r w:rsidR="00447BAB" w:rsidRPr="00871B8F">
              <w:rPr>
                <w:b/>
                <w:color w:val="7F7F7F" w:themeColor="text1" w:themeTint="80"/>
                <w:sz w:val="24"/>
                <w:szCs w:val="24"/>
              </w:rPr>
              <w:fldChar w:fldCharType="end"/>
            </w:r>
          </w:p>
        </w:sdtContent>
      </w:sdt>
    </w:sdtContent>
  </w:sdt>
  <w:p w:rsidR="00DB1C04" w:rsidRPr="00871B8F" w:rsidRDefault="00871B8F">
    <w:pPr>
      <w:pStyle w:val="Footer"/>
      <w:rPr>
        <w:color w:val="7F7F7F" w:themeColor="text1" w:themeTint="80"/>
      </w:rPr>
    </w:pPr>
    <w:r w:rsidRPr="00871B8F">
      <w:rPr>
        <w:color w:val="7F7F7F" w:themeColor="text1" w:themeTint="80"/>
      </w:rPr>
      <w:t>FY18 MMG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04" w:rsidRDefault="00DB1C04" w:rsidP="00787FD6">
      <w:pPr>
        <w:spacing w:after="0" w:line="240" w:lineRule="auto"/>
      </w:pPr>
      <w:r>
        <w:separator/>
      </w:r>
    </w:p>
  </w:footnote>
  <w:footnote w:type="continuationSeparator" w:id="0">
    <w:p w:rsidR="00DB1C04" w:rsidRDefault="00DB1C04" w:rsidP="00787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537"/>
    <w:multiLevelType w:val="hybridMultilevel"/>
    <w:tmpl w:val="671E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7DDA"/>
    <w:multiLevelType w:val="hybridMultilevel"/>
    <w:tmpl w:val="D79653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4D2BE5"/>
    <w:multiLevelType w:val="hybridMultilevel"/>
    <w:tmpl w:val="7A36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C58AA"/>
    <w:multiLevelType w:val="hybridMultilevel"/>
    <w:tmpl w:val="4FEA2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A41F8"/>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5" w15:restartNumberingAfterBreak="0">
    <w:nsid w:val="24922401"/>
    <w:multiLevelType w:val="hybridMultilevel"/>
    <w:tmpl w:val="0CDA5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E162F"/>
    <w:multiLevelType w:val="hybridMultilevel"/>
    <w:tmpl w:val="7CAA2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2B66BB"/>
    <w:multiLevelType w:val="hybridMultilevel"/>
    <w:tmpl w:val="BE9A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0681D"/>
    <w:multiLevelType w:val="hybridMultilevel"/>
    <w:tmpl w:val="149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11B4A"/>
    <w:multiLevelType w:val="hybridMultilevel"/>
    <w:tmpl w:val="37BCB28E"/>
    <w:lvl w:ilvl="0" w:tplc="BB2623B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BED2E70"/>
    <w:multiLevelType w:val="hybridMultilevel"/>
    <w:tmpl w:val="70A6F8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183744"/>
    <w:multiLevelType w:val="hybridMultilevel"/>
    <w:tmpl w:val="F02A16AA"/>
    <w:lvl w:ilvl="0" w:tplc="0409000F">
      <w:start w:val="1"/>
      <w:numFmt w:val="decimal"/>
      <w:lvlText w:val="%1."/>
      <w:lvlJc w:val="left"/>
      <w:pPr>
        <w:ind w:left="720" w:hanging="360"/>
      </w:pPr>
      <w:rPr>
        <w:rFonts w:cs="Times New Roman"/>
      </w:rPr>
    </w:lvl>
    <w:lvl w:ilvl="1" w:tplc="ADB0DF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2950DF6"/>
    <w:multiLevelType w:val="singleLevel"/>
    <w:tmpl w:val="F9723ED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11035E"/>
    <w:multiLevelType w:val="hybridMultilevel"/>
    <w:tmpl w:val="C2F24B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50A06"/>
    <w:multiLevelType w:val="hybridMultilevel"/>
    <w:tmpl w:val="DDF2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179BC"/>
    <w:multiLevelType w:val="hybridMultilevel"/>
    <w:tmpl w:val="00A05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F6807"/>
    <w:multiLevelType w:val="hybridMultilevel"/>
    <w:tmpl w:val="453446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C42EA4"/>
    <w:multiLevelType w:val="hybridMultilevel"/>
    <w:tmpl w:val="1424F21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15:restartNumberingAfterBreak="0">
    <w:nsid w:val="50FE6CCC"/>
    <w:multiLevelType w:val="hybridMultilevel"/>
    <w:tmpl w:val="431C04E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4882B6E"/>
    <w:multiLevelType w:val="hybridMultilevel"/>
    <w:tmpl w:val="F02E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44D39"/>
    <w:multiLevelType w:val="hybridMultilevel"/>
    <w:tmpl w:val="7D4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A7513"/>
    <w:multiLevelType w:val="hybridMultilevel"/>
    <w:tmpl w:val="6D48C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72424"/>
    <w:multiLevelType w:val="hybridMultilevel"/>
    <w:tmpl w:val="514672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CFB5997"/>
    <w:multiLevelType w:val="hybridMultilevel"/>
    <w:tmpl w:val="8A2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E3CC5"/>
    <w:multiLevelType w:val="hybridMultilevel"/>
    <w:tmpl w:val="0C9869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674D7"/>
    <w:multiLevelType w:val="hybridMultilevel"/>
    <w:tmpl w:val="810896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612DE"/>
    <w:multiLevelType w:val="hybridMultilevel"/>
    <w:tmpl w:val="F9F2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50024"/>
    <w:multiLevelType w:val="hybridMultilevel"/>
    <w:tmpl w:val="0D2EE50A"/>
    <w:lvl w:ilvl="0" w:tplc="3F74A652">
      <w:start w:val="1"/>
      <w:numFmt w:val="bullet"/>
      <w:lvlText w:val=""/>
      <w:lvlJc w:val="left"/>
      <w:pPr>
        <w:tabs>
          <w:tab w:val="num" w:pos="810"/>
        </w:tabs>
        <w:ind w:left="810" w:hanging="360"/>
      </w:pPr>
      <w:rPr>
        <w:rFonts w:ascii="Symbol" w:hAnsi="Symbol" w:hint="default"/>
        <w:sz w:val="20"/>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8" w15:restartNumberingAfterBreak="0">
    <w:nsid w:val="704B3A74"/>
    <w:multiLevelType w:val="hybridMultilevel"/>
    <w:tmpl w:val="78C4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775D2"/>
    <w:multiLevelType w:val="hybridMultilevel"/>
    <w:tmpl w:val="D146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A768A"/>
    <w:multiLevelType w:val="hybridMultilevel"/>
    <w:tmpl w:val="7584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7016A"/>
    <w:multiLevelType w:val="hybridMultilevel"/>
    <w:tmpl w:val="B6F0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A2105"/>
    <w:multiLevelType w:val="hybridMultilevel"/>
    <w:tmpl w:val="E4E266D2"/>
    <w:lvl w:ilvl="0" w:tplc="35D69C2C">
      <w:start w:val="1"/>
      <w:numFmt w:val="bullet"/>
      <w:lvlText w:val=""/>
      <w:lvlJc w:val="left"/>
      <w:pPr>
        <w:tabs>
          <w:tab w:val="num" w:pos="720"/>
        </w:tabs>
        <w:ind w:left="108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F08DE"/>
    <w:multiLevelType w:val="hybridMultilevel"/>
    <w:tmpl w:val="CC1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0"/>
  </w:num>
  <w:num w:numId="4">
    <w:abstractNumId w:val="4"/>
  </w:num>
  <w:num w:numId="5">
    <w:abstractNumId w:val="12"/>
  </w:num>
  <w:num w:numId="6">
    <w:abstractNumId w:val="32"/>
  </w:num>
  <w:num w:numId="7">
    <w:abstractNumId w:val="17"/>
  </w:num>
  <w:num w:numId="8">
    <w:abstractNumId w:val="31"/>
  </w:num>
  <w:num w:numId="9">
    <w:abstractNumId w:val="19"/>
  </w:num>
  <w:num w:numId="10">
    <w:abstractNumId w:val="23"/>
  </w:num>
  <w:num w:numId="11">
    <w:abstractNumId w:val="27"/>
  </w:num>
  <w:num w:numId="12">
    <w:abstractNumId w:val="5"/>
  </w:num>
  <w:num w:numId="13">
    <w:abstractNumId w:val="6"/>
  </w:num>
  <w:num w:numId="14">
    <w:abstractNumId w:val="8"/>
  </w:num>
  <w:num w:numId="15">
    <w:abstractNumId w:val="18"/>
  </w:num>
  <w:num w:numId="16">
    <w:abstractNumId w:val="7"/>
  </w:num>
  <w:num w:numId="17">
    <w:abstractNumId w:val="15"/>
  </w:num>
  <w:num w:numId="18">
    <w:abstractNumId w:val="33"/>
  </w:num>
  <w:num w:numId="19">
    <w:abstractNumId w:val="26"/>
  </w:num>
  <w:num w:numId="20">
    <w:abstractNumId w:val="2"/>
  </w:num>
  <w:num w:numId="21">
    <w:abstractNumId w:val="20"/>
  </w:num>
  <w:num w:numId="22">
    <w:abstractNumId w:val="1"/>
  </w:num>
  <w:num w:numId="23">
    <w:abstractNumId w:val="25"/>
  </w:num>
  <w:num w:numId="24">
    <w:abstractNumId w:val="21"/>
  </w:num>
  <w:num w:numId="25">
    <w:abstractNumId w:val="10"/>
  </w:num>
  <w:num w:numId="26">
    <w:abstractNumId w:val="24"/>
  </w:num>
  <w:num w:numId="27">
    <w:abstractNumId w:val="13"/>
  </w:num>
  <w:num w:numId="28">
    <w:abstractNumId w:val="22"/>
  </w:num>
  <w:num w:numId="29">
    <w:abstractNumId w:val="3"/>
  </w:num>
  <w:num w:numId="30">
    <w:abstractNumId w:val="29"/>
  </w:num>
  <w:num w:numId="31">
    <w:abstractNumId w:val="28"/>
  </w:num>
  <w:num w:numId="32">
    <w:abstractNumId w:val="11"/>
  </w:num>
  <w:num w:numId="33">
    <w:abstractNumId w:val="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ObwutIt8BIQhRl+cfAfIrhGkpyT2wE8mcZK12/g4WQJN9VV3Y9BM5OsYRQsqP3wAOIlN7U7Dsg+Oj5OISWp6gA==" w:salt="88YMO8LSBsL3FNyAopBBt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CDF"/>
    <w:rsid w:val="00001190"/>
    <w:rsid w:val="00001FED"/>
    <w:rsid w:val="00007B99"/>
    <w:rsid w:val="00020DA1"/>
    <w:rsid w:val="0002350C"/>
    <w:rsid w:val="000245B6"/>
    <w:rsid w:val="00024813"/>
    <w:rsid w:val="000302C1"/>
    <w:rsid w:val="000415B8"/>
    <w:rsid w:val="00045B21"/>
    <w:rsid w:val="000776A4"/>
    <w:rsid w:val="00083BE4"/>
    <w:rsid w:val="00085177"/>
    <w:rsid w:val="000937BB"/>
    <w:rsid w:val="00093C5C"/>
    <w:rsid w:val="000A038F"/>
    <w:rsid w:val="000C0720"/>
    <w:rsid w:val="000C3B5F"/>
    <w:rsid w:val="000D3CF5"/>
    <w:rsid w:val="0010489D"/>
    <w:rsid w:val="001126C9"/>
    <w:rsid w:val="00120394"/>
    <w:rsid w:val="001352E5"/>
    <w:rsid w:val="00151BFD"/>
    <w:rsid w:val="00156BD8"/>
    <w:rsid w:val="001742D4"/>
    <w:rsid w:val="0018185F"/>
    <w:rsid w:val="001B4093"/>
    <w:rsid w:val="001B691B"/>
    <w:rsid w:val="001C61A8"/>
    <w:rsid w:val="001D31A7"/>
    <w:rsid w:val="001F3C1C"/>
    <w:rsid w:val="00200915"/>
    <w:rsid w:val="002046D9"/>
    <w:rsid w:val="00211F98"/>
    <w:rsid w:val="002164F0"/>
    <w:rsid w:val="00217800"/>
    <w:rsid w:val="002226CA"/>
    <w:rsid w:val="002366A9"/>
    <w:rsid w:val="00245D15"/>
    <w:rsid w:val="00245E3F"/>
    <w:rsid w:val="00250609"/>
    <w:rsid w:val="002964B7"/>
    <w:rsid w:val="00297FB6"/>
    <w:rsid w:val="002A57C0"/>
    <w:rsid w:val="002A781D"/>
    <w:rsid w:val="002C1C87"/>
    <w:rsid w:val="002C4152"/>
    <w:rsid w:val="002C41B4"/>
    <w:rsid w:val="002D4BD8"/>
    <w:rsid w:val="002E3F61"/>
    <w:rsid w:val="00304663"/>
    <w:rsid w:val="00337B97"/>
    <w:rsid w:val="00353396"/>
    <w:rsid w:val="003536A0"/>
    <w:rsid w:val="00364ED4"/>
    <w:rsid w:val="0039307B"/>
    <w:rsid w:val="003B1F11"/>
    <w:rsid w:val="003B6178"/>
    <w:rsid w:val="003C1C50"/>
    <w:rsid w:val="003D0425"/>
    <w:rsid w:val="003E7C0E"/>
    <w:rsid w:val="003F64B8"/>
    <w:rsid w:val="0041171F"/>
    <w:rsid w:val="00417018"/>
    <w:rsid w:val="004305ED"/>
    <w:rsid w:val="00447BAB"/>
    <w:rsid w:val="00463E31"/>
    <w:rsid w:val="00486967"/>
    <w:rsid w:val="00493ADA"/>
    <w:rsid w:val="004A41C9"/>
    <w:rsid w:val="004B63A6"/>
    <w:rsid w:val="004C34E7"/>
    <w:rsid w:val="004C722D"/>
    <w:rsid w:val="004E0D5B"/>
    <w:rsid w:val="004E4CDF"/>
    <w:rsid w:val="00502DFF"/>
    <w:rsid w:val="00516FDD"/>
    <w:rsid w:val="005307ED"/>
    <w:rsid w:val="00532BDA"/>
    <w:rsid w:val="00545649"/>
    <w:rsid w:val="00555090"/>
    <w:rsid w:val="005620EE"/>
    <w:rsid w:val="00570492"/>
    <w:rsid w:val="00572668"/>
    <w:rsid w:val="005769F9"/>
    <w:rsid w:val="0057702D"/>
    <w:rsid w:val="00587B64"/>
    <w:rsid w:val="00597658"/>
    <w:rsid w:val="005B5AA0"/>
    <w:rsid w:val="005C1A1C"/>
    <w:rsid w:val="005D5BC3"/>
    <w:rsid w:val="005E2CD1"/>
    <w:rsid w:val="005E567B"/>
    <w:rsid w:val="00614807"/>
    <w:rsid w:val="006457BC"/>
    <w:rsid w:val="006624AD"/>
    <w:rsid w:val="00663110"/>
    <w:rsid w:val="006641C5"/>
    <w:rsid w:val="0067075C"/>
    <w:rsid w:val="0068021E"/>
    <w:rsid w:val="006C0D52"/>
    <w:rsid w:val="006C4270"/>
    <w:rsid w:val="006C5FC7"/>
    <w:rsid w:val="0070071C"/>
    <w:rsid w:val="00722091"/>
    <w:rsid w:val="007320C2"/>
    <w:rsid w:val="007340F4"/>
    <w:rsid w:val="00743DB7"/>
    <w:rsid w:val="00760E62"/>
    <w:rsid w:val="00767C46"/>
    <w:rsid w:val="00787FD6"/>
    <w:rsid w:val="007A6ED5"/>
    <w:rsid w:val="007B6CE8"/>
    <w:rsid w:val="007C2D7B"/>
    <w:rsid w:val="007E038B"/>
    <w:rsid w:val="007E1519"/>
    <w:rsid w:val="007F0998"/>
    <w:rsid w:val="00801135"/>
    <w:rsid w:val="00831A56"/>
    <w:rsid w:val="00833B8E"/>
    <w:rsid w:val="008408AB"/>
    <w:rsid w:val="008628E4"/>
    <w:rsid w:val="00871B8F"/>
    <w:rsid w:val="008741D2"/>
    <w:rsid w:val="00896A2E"/>
    <w:rsid w:val="008A7152"/>
    <w:rsid w:val="008D30DC"/>
    <w:rsid w:val="008E4C96"/>
    <w:rsid w:val="00906A6D"/>
    <w:rsid w:val="00930943"/>
    <w:rsid w:val="009314F2"/>
    <w:rsid w:val="00932A85"/>
    <w:rsid w:val="00934F8B"/>
    <w:rsid w:val="009368DC"/>
    <w:rsid w:val="00944155"/>
    <w:rsid w:val="00944BFB"/>
    <w:rsid w:val="00950B8E"/>
    <w:rsid w:val="00960D8C"/>
    <w:rsid w:val="00960F47"/>
    <w:rsid w:val="009648BD"/>
    <w:rsid w:val="00966327"/>
    <w:rsid w:val="009910EA"/>
    <w:rsid w:val="009A1FBB"/>
    <w:rsid w:val="009A2780"/>
    <w:rsid w:val="009C0438"/>
    <w:rsid w:val="009C2B32"/>
    <w:rsid w:val="009C44A4"/>
    <w:rsid w:val="00A00914"/>
    <w:rsid w:val="00A148F0"/>
    <w:rsid w:val="00A211B7"/>
    <w:rsid w:val="00A27CB2"/>
    <w:rsid w:val="00A3097A"/>
    <w:rsid w:val="00A34D8F"/>
    <w:rsid w:val="00A420D9"/>
    <w:rsid w:val="00A51964"/>
    <w:rsid w:val="00A57DF2"/>
    <w:rsid w:val="00A8149F"/>
    <w:rsid w:val="00A85A8B"/>
    <w:rsid w:val="00AA1716"/>
    <w:rsid w:val="00AA1983"/>
    <w:rsid w:val="00AB3AFB"/>
    <w:rsid w:val="00AB7BFE"/>
    <w:rsid w:val="00AB7D82"/>
    <w:rsid w:val="00AC0692"/>
    <w:rsid w:val="00AC51E4"/>
    <w:rsid w:val="00AD5277"/>
    <w:rsid w:val="00AE77A3"/>
    <w:rsid w:val="00B052AF"/>
    <w:rsid w:val="00B205F9"/>
    <w:rsid w:val="00B345CE"/>
    <w:rsid w:val="00B351EF"/>
    <w:rsid w:val="00B379A3"/>
    <w:rsid w:val="00B37C46"/>
    <w:rsid w:val="00B46010"/>
    <w:rsid w:val="00B634ED"/>
    <w:rsid w:val="00B86BC7"/>
    <w:rsid w:val="00B924F1"/>
    <w:rsid w:val="00BB63AA"/>
    <w:rsid w:val="00BB70D3"/>
    <w:rsid w:val="00BC4E30"/>
    <w:rsid w:val="00BD2591"/>
    <w:rsid w:val="00BD577B"/>
    <w:rsid w:val="00BE2AB0"/>
    <w:rsid w:val="00BE4E0D"/>
    <w:rsid w:val="00BF70D1"/>
    <w:rsid w:val="00C11E86"/>
    <w:rsid w:val="00C15BA5"/>
    <w:rsid w:val="00C414F3"/>
    <w:rsid w:val="00C4586E"/>
    <w:rsid w:val="00C5314C"/>
    <w:rsid w:val="00C57364"/>
    <w:rsid w:val="00CB06AB"/>
    <w:rsid w:val="00CB4EB5"/>
    <w:rsid w:val="00CC0209"/>
    <w:rsid w:val="00CC3193"/>
    <w:rsid w:val="00CE4796"/>
    <w:rsid w:val="00CE484E"/>
    <w:rsid w:val="00D01CC2"/>
    <w:rsid w:val="00D13EAF"/>
    <w:rsid w:val="00D14A4E"/>
    <w:rsid w:val="00D1685F"/>
    <w:rsid w:val="00D36EEC"/>
    <w:rsid w:val="00D448BB"/>
    <w:rsid w:val="00D47E52"/>
    <w:rsid w:val="00D62BB8"/>
    <w:rsid w:val="00D74499"/>
    <w:rsid w:val="00DA5239"/>
    <w:rsid w:val="00DA52C5"/>
    <w:rsid w:val="00DA57F3"/>
    <w:rsid w:val="00DA6374"/>
    <w:rsid w:val="00DB1C04"/>
    <w:rsid w:val="00DE16B7"/>
    <w:rsid w:val="00E03472"/>
    <w:rsid w:val="00E14C7E"/>
    <w:rsid w:val="00E328A0"/>
    <w:rsid w:val="00E6272D"/>
    <w:rsid w:val="00E928BA"/>
    <w:rsid w:val="00E944C2"/>
    <w:rsid w:val="00EA0A84"/>
    <w:rsid w:val="00EA4383"/>
    <w:rsid w:val="00EB1A4C"/>
    <w:rsid w:val="00EB623E"/>
    <w:rsid w:val="00ED066C"/>
    <w:rsid w:val="00ED3A25"/>
    <w:rsid w:val="00EF5AE8"/>
    <w:rsid w:val="00EF73A9"/>
    <w:rsid w:val="00F01B45"/>
    <w:rsid w:val="00F46DBE"/>
    <w:rsid w:val="00F52DBF"/>
    <w:rsid w:val="00F538E3"/>
    <w:rsid w:val="00F54206"/>
    <w:rsid w:val="00F57CE6"/>
    <w:rsid w:val="00F91304"/>
    <w:rsid w:val="00F929AE"/>
    <w:rsid w:val="00FD6342"/>
    <w:rsid w:val="00FE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348FF6"/>
  <w15:docId w15:val="{83F4ADDC-8D99-4840-97E1-7DDEDF8D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2D"/>
  </w:style>
  <w:style w:type="paragraph" w:styleId="Heading1">
    <w:name w:val="heading 1"/>
    <w:basedOn w:val="Normal"/>
    <w:next w:val="Normal"/>
    <w:link w:val="Heading1Char"/>
    <w:uiPriority w:val="9"/>
    <w:qFormat/>
    <w:rsid w:val="00831A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A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F91304"/>
    <w:pPr>
      <w:keepNext/>
      <w:tabs>
        <w:tab w:val="left" w:pos="720"/>
        <w:tab w:val="left" w:pos="810"/>
        <w:tab w:val="left" w:pos="900"/>
        <w:tab w:val="left" w:pos="1440"/>
      </w:tabs>
      <w:spacing w:after="0" w:line="360" w:lineRule="auto"/>
      <w:ind w:left="900"/>
      <w:outlineLvl w:val="3"/>
    </w:pPr>
    <w:rPr>
      <w:rFonts w:ascii="Arial" w:eastAsia="Times New Roman" w:hAnsi="Arial" w:cs="Times New Roman"/>
      <w:b/>
      <w:color w:val="000000"/>
      <w:sz w:val="20"/>
      <w:szCs w:val="20"/>
    </w:rPr>
  </w:style>
  <w:style w:type="paragraph" w:styleId="Heading5">
    <w:name w:val="heading 5"/>
    <w:basedOn w:val="Normal"/>
    <w:next w:val="Normal"/>
    <w:link w:val="Heading5Char"/>
    <w:qFormat/>
    <w:rsid w:val="00F91304"/>
    <w:pPr>
      <w:keepNext/>
      <w:pBdr>
        <w:top w:val="triple" w:sz="4" w:space="1" w:color="auto"/>
        <w:left w:val="triple" w:sz="4" w:space="4" w:color="auto"/>
        <w:bottom w:val="triple" w:sz="4" w:space="1" w:color="auto"/>
        <w:right w:val="triple" w:sz="4" w:space="4" w:color="auto"/>
      </w:pBdr>
      <w:spacing w:after="0" w:line="360" w:lineRule="auto"/>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77"/>
    <w:pPr>
      <w:ind w:left="720"/>
      <w:contextualSpacing/>
    </w:pPr>
  </w:style>
  <w:style w:type="character" w:customStyle="1" w:styleId="Heading4Char">
    <w:name w:val="Heading 4 Char"/>
    <w:basedOn w:val="DefaultParagraphFont"/>
    <w:link w:val="Heading4"/>
    <w:uiPriority w:val="9"/>
    <w:rsid w:val="00F91304"/>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F91304"/>
    <w:rPr>
      <w:rFonts w:ascii="Arial" w:eastAsia="Times New Roman" w:hAnsi="Arial" w:cs="Times New Roman"/>
      <w:b/>
      <w:sz w:val="32"/>
      <w:szCs w:val="20"/>
    </w:rPr>
  </w:style>
  <w:style w:type="paragraph" w:styleId="BodyText">
    <w:name w:val="Body Text"/>
    <w:basedOn w:val="Normal"/>
    <w:link w:val="BodyTextChar"/>
    <w:uiPriority w:val="1"/>
    <w:qFormat/>
    <w:rsid w:val="00F91304"/>
    <w:pPr>
      <w:spacing w:after="0" w:line="360" w:lineRule="auto"/>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F91304"/>
    <w:rPr>
      <w:rFonts w:ascii="Arial" w:eastAsia="Times New Roman" w:hAnsi="Arial" w:cs="Times New Roman"/>
      <w:sz w:val="20"/>
      <w:szCs w:val="20"/>
    </w:rPr>
  </w:style>
  <w:style w:type="paragraph" w:styleId="NoSpacing">
    <w:name w:val="No Spacing"/>
    <w:link w:val="NoSpacingChar"/>
    <w:uiPriority w:val="1"/>
    <w:qFormat/>
    <w:rsid w:val="00F9130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91304"/>
    <w:rPr>
      <w:rFonts w:ascii="Calibri" w:eastAsia="Times New Roman" w:hAnsi="Calibri" w:cs="Times New Roman"/>
    </w:rPr>
  </w:style>
  <w:style w:type="paragraph" w:styleId="PlainText">
    <w:name w:val="Plain Text"/>
    <w:basedOn w:val="Normal"/>
    <w:link w:val="PlainTextChar"/>
    <w:rsid w:val="00F91304"/>
    <w:pPr>
      <w:spacing w:after="0" w:line="36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F91304"/>
    <w:rPr>
      <w:rFonts w:ascii="Courier New" w:eastAsia="Times New Roman" w:hAnsi="Courier New" w:cs="Times New Roman"/>
      <w:sz w:val="24"/>
      <w:szCs w:val="20"/>
    </w:rPr>
  </w:style>
  <w:style w:type="character" w:styleId="Hyperlink">
    <w:name w:val="Hyperlink"/>
    <w:basedOn w:val="DefaultParagraphFont"/>
    <w:uiPriority w:val="99"/>
    <w:rsid w:val="00532BDA"/>
    <w:rPr>
      <w:rFonts w:cs="Times New Roman"/>
      <w:color w:val="0000FF"/>
      <w:u w:val="single"/>
    </w:rPr>
  </w:style>
  <w:style w:type="paragraph" w:styleId="BodyTextIndent2">
    <w:name w:val="Body Text Indent 2"/>
    <w:basedOn w:val="Normal"/>
    <w:link w:val="BodyTextIndent2Char"/>
    <w:uiPriority w:val="99"/>
    <w:unhideWhenUsed/>
    <w:rsid w:val="004B63A6"/>
    <w:pPr>
      <w:spacing w:after="120" w:line="480" w:lineRule="auto"/>
      <w:ind w:left="360"/>
    </w:pPr>
    <w:rPr>
      <w:rFonts w:ascii="Arial" w:eastAsia="Times New Roman" w:hAnsi="Arial" w:cs="Times New Roman"/>
      <w:color w:val="000000"/>
      <w:sz w:val="16"/>
      <w:szCs w:val="20"/>
    </w:rPr>
  </w:style>
  <w:style w:type="character" w:customStyle="1" w:styleId="BodyTextIndent2Char">
    <w:name w:val="Body Text Indent 2 Char"/>
    <w:basedOn w:val="DefaultParagraphFont"/>
    <w:link w:val="BodyTextIndent2"/>
    <w:uiPriority w:val="99"/>
    <w:rsid w:val="004B63A6"/>
    <w:rPr>
      <w:rFonts w:ascii="Arial" w:eastAsia="Times New Roman" w:hAnsi="Arial" w:cs="Times New Roman"/>
      <w:color w:val="000000"/>
      <w:sz w:val="16"/>
      <w:szCs w:val="20"/>
    </w:rPr>
  </w:style>
  <w:style w:type="character" w:customStyle="1" w:styleId="Heading1Char">
    <w:name w:val="Heading 1 Char"/>
    <w:basedOn w:val="DefaultParagraphFont"/>
    <w:link w:val="Heading1"/>
    <w:uiPriority w:val="9"/>
    <w:rsid w:val="00831A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1A56"/>
    <w:rPr>
      <w:rFonts w:asciiTheme="majorHAnsi" w:eastAsiaTheme="majorEastAsia" w:hAnsiTheme="majorHAnsi" w:cstheme="majorBidi"/>
      <w:color w:val="2E74B5" w:themeColor="accent1" w:themeShade="BF"/>
      <w:sz w:val="26"/>
      <w:szCs w:val="26"/>
    </w:rPr>
  </w:style>
  <w:style w:type="paragraph" w:customStyle="1" w:styleId="body">
    <w:name w:val="body"/>
    <w:rsid w:val="00B351EF"/>
    <w:pPr>
      <w:tabs>
        <w:tab w:val="left" w:leader="dot" w:pos="300"/>
        <w:tab w:val="left" w:leader="dot" w:pos="600"/>
      </w:tabs>
      <w:spacing w:after="180" w:line="288" w:lineRule="atLeast"/>
    </w:pPr>
    <w:rPr>
      <w:rFonts w:ascii="Arial" w:eastAsia="Times New Roman" w:hAnsi="Arial" w:cs="Times New Roman"/>
      <w:snapToGrid w:val="0"/>
      <w:szCs w:val="20"/>
    </w:rPr>
  </w:style>
  <w:style w:type="paragraph" w:styleId="BodyTextIndent">
    <w:name w:val="Body Text Indent"/>
    <w:basedOn w:val="Normal"/>
    <w:link w:val="BodyTextIndentChar"/>
    <w:uiPriority w:val="99"/>
    <w:semiHidden/>
    <w:unhideWhenUsed/>
    <w:rsid w:val="00934F8B"/>
    <w:pPr>
      <w:spacing w:after="120"/>
      <w:ind w:left="360"/>
    </w:pPr>
  </w:style>
  <w:style w:type="character" w:customStyle="1" w:styleId="BodyTextIndentChar">
    <w:name w:val="Body Text Indent Char"/>
    <w:basedOn w:val="DefaultParagraphFont"/>
    <w:link w:val="BodyTextIndent"/>
    <w:uiPriority w:val="99"/>
    <w:semiHidden/>
    <w:rsid w:val="00934F8B"/>
  </w:style>
  <w:style w:type="paragraph" w:styleId="Header">
    <w:name w:val="header"/>
    <w:basedOn w:val="Normal"/>
    <w:link w:val="HeaderChar"/>
    <w:uiPriority w:val="99"/>
    <w:unhideWhenUsed/>
    <w:rsid w:val="00787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FD6"/>
  </w:style>
  <w:style w:type="paragraph" w:styleId="Footer">
    <w:name w:val="footer"/>
    <w:basedOn w:val="Normal"/>
    <w:link w:val="FooterChar"/>
    <w:uiPriority w:val="99"/>
    <w:unhideWhenUsed/>
    <w:rsid w:val="00787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FD6"/>
  </w:style>
  <w:style w:type="paragraph" w:styleId="BalloonText">
    <w:name w:val="Balloon Text"/>
    <w:basedOn w:val="Normal"/>
    <w:link w:val="BalloonTextChar"/>
    <w:uiPriority w:val="99"/>
    <w:semiHidden/>
    <w:unhideWhenUsed/>
    <w:rsid w:val="00FD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42"/>
    <w:rPr>
      <w:rFonts w:ascii="Tahoma" w:hAnsi="Tahoma" w:cs="Tahoma"/>
      <w:sz w:val="16"/>
      <w:szCs w:val="16"/>
    </w:rPr>
  </w:style>
  <w:style w:type="paragraph" w:styleId="Revision">
    <w:name w:val="Revision"/>
    <w:hidden/>
    <w:uiPriority w:val="99"/>
    <w:semiHidden/>
    <w:rsid w:val="0068021E"/>
    <w:pPr>
      <w:spacing w:after="0" w:line="240" w:lineRule="auto"/>
    </w:pPr>
  </w:style>
  <w:style w:type="character" w:styleId="CommentReference">
    <w:name w:val="annotation reference"/>
    <w:basedOn w:val="DefaultParagraphFont"/>
    <w:uiPriority w:val="99"/>
    <w:semiHidden/>
    <w:unhideWhenUsed/>
    <w:rsid w:val="00896A2E"/>
    <w:rPr>
      <w:sz w:val="16"/>
      <w:szCs w:val="16"/>
    </w:rPr>
  </w:style>
  <w:style w:type="paragraph" w:styleId="CommentText">
    <w:name w:val="annotation text"/>
    <w:basedOn w:val="Normal"/>
    <w:link w:val="CommentTextChar"/>
    <w:uiPriority w:val="99"/>
    <w:semiHidden/>
    <w:unhideWhenUsed/>
    <w:rsid w:val="00896A2E"/>
    <w:pPr>
      <w:spacing w:line="240" w:lineRule="auto"/>
    </w:pPr>
    <w:rPr>
      <w:sz w:val="20"/>
      <w:szCs w:val="20"/>
    </w:rPr>
  </w:style>
  <w:style w:type="character" w:customStyle="1" w:styleId="CommentTextChar">
    <w:name w:val="Comment Text Char"/>
    <w:basedOn w:val="DefaultParagraphFont"/>
    <w:link w:val="CommentText"/>
    <w:uiPriority w:val="99"/>
    <w:semiHidden/>
    <w:rsid w:val="00896A2E"/>
    <w:rPr>
      <w:sz w:val="20"/>
      <w:szCs w:val="20"/>
    </w:rPr>
  </w:style>
  <w:style w:type="paragraph" w:styleId="CommentSubject">
    <w:name w:val="annotation subject"/>
    <w:basedOn w:val="CommentText"/>
    <w:next w:val="CommentText"/>
    <w:link w:val="CommentSubjectChar"/>
    <w:uiPriority w:val="99"/>
    <w:semiHidden/>
    <w:unhideWhenUsed/>
    <w:rsid w:val="00896A2E"/>
    <w:rPr>
      <w:b/>
      <w:bCs/>
    </w:rPr>
  </w:style>
  <w:style w:type="character" w:customStyle="1" w:styleId="CommentSubjectChar">
    <w:name w:val="Comment Subject Char"/>
    <w:basedOn w:val="CommentTextChar"/>
    <w:link w:val="CommentSubject"/>
    <w:uiPriority w:val="99"/>
    <w:semiHidden/>
    <w:rsid w:val="00896A2E"/>
    <w:rPr>
      <w:b/>
      <w:bCs/>
      <w:sz w:val="20"/>
      <w:szCs w:val="20"/>
    </w:rPr>
  </w:style>
  <w:style w:type="character" w:styleId="FollowedHyperlink">
    <w:name w:val="FollowedHyperlink"/>
    <w:basedOn w:val="DefaultParagraphFont"/>
    <w:uiPriority w:val="99"/>
    <w:semiHidden/>
    <w:unhideWhenUsed/>
    <w:rsid w:val="006C0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ga.mo.gov/statutes/C200-299/285000052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ssouribuys.m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y.visitm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0FF9-FC1D-4B6A-80DC-D2FF1AFB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4210</Words>
  <Characters>24001</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Mormann</dc:creator>
  <cp:lastModifiedBy>megan.rogers</cp:lastModifiedBy>
  <cp:revision>27</cp:revision>
  <cp:lastPrinted>2017-01-27T13:47:00Z</cp:lastPrinted>
  <dcterms:created xsi:type="dcterms:W3CDTF">2017-01-16T22:21:00Z</dcterms:created>
  <dcterms:modified xsi:type="dcterms:W3CDTF">2017-10-25T17:11:00Z</dcterms:modified>
</cp:coreProperties>
</file>