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EAF" w:rsidRPr="009A520A" w:rsidRDefault="00B26EAF" w:rsidP="00D20BCA">
      <w:pPr>
        <w:pStyle w:val="Heading3"/>
        <w:rPr>
          <w:rFonts w:cs="Arial"/>
          <w:sz w:val="4"/>
          <w:szCs w:val="4"/>
        </w:rPr>
      </w:pPr>
    </w:p>
    <w:tbl>
      <w:tblPr>
        <w:tblpPr w:leftFromText="180" w:rightFromText="180" w:vertAnchor="page" w:horzAnchor="margin" w:tblpXSpec="center" w:tblpY="881"/>
        <w:tblOverlap w:val="never"/>
        <w:tblW w:w="10920" w:type="dxa"/>
        <w:tblLayout w:type="fixed"/>
        <w:tblCellMar>
          <w:left w:w="30" w:type="dxa"/>
          <w:right w:w="30" w:type="dxa"/>
        </w:tblCellMar>
        <w:tblLook w:val="0000"/>
      </w:tblPr>
      <w:tblGrid>
        <w:gridCol w:w="4690"/>
        <w:gridCol w:w="6230"/>
      </w:tblGrid>
      <w:tr w:rsidR="00B26EAF" w:rsidRPr="00DB560E" w:rsidTr="00530766">
        <w:trPr>
          <w:cantSplit/>
          <w:trHeight w:val="2159"/>
        </w:trPr>
        <w:tc>
          <w:tcPr>
            <w:tcW w:w="4690" w:type="dxa"/>
            <w:tcBorders>
              <w:left w:val="nil"/>
              <w:bottom w:val="single" w:sz="4" w:space="0" w:color="auto"/>
            </w:tcBorders>
            <w:vAlign w:val="center"/>
          </w:tcPr>
          <w:p w:rsidR="000C799F" w:rsidRPr="003E7045" w:rsidRDefault="00F90066" w:rsidP="00D96702">
            <w:pPr>
              <w:pStyle w:val="Heading2"/>
              <w:jc w:val="center"/>
              <w:rPr>
                <w:i/>
                <w:sz w:val="16"/>
              </w:rPr>
            </w:pPr>
            <w:r>
              <w:rPr>
                <w:noProof/>
              </w:rPr>
              <w:drawing>
                <wp:anchor distT="0" distB="0" distL="114300" distR="114300" simplePos="0" relativeHeight="251657728" behindDoc="0" locked="0" layoutInCell="1" allowOverlap="1">
                  <wp:simplePos x="0" y="0"/>
                  <wp:positionH relativeFrom="column">
                    <wp:posOffset>5080</wp:posOffset>
                  </wp:positionH>
                  <wp:positionV relativeFrom="paragraph">
                    <wp:posOffset>1270</wp:posOffset>
                  </wp:positionV>
                  <wp:extent cx="2950210" cy="1173480"/>
                  <wp:effectExtent l="19050" t="0" r="2540" b="0"/>
                  <wp:wrapSquare wrapText="bothSides"/>
                  <wp:docPr id="62" name="Picture 62" descr="C_Blacklogoutlns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_BlacklogoutlnsGG"/>
                          <pic:cNvPicPr>
                            <a:picLocks noChangeAspect="1" noChangeArrowheads="1"/>
                          </pic:cNvPicPr>
                        </pic:nvPicPr>
                        <pic:blipFill>
                          <a:blip r:embed="rId8" cstate="print"/>
                          <a:srcRect/>
                          <a:stretch>
                            <a:fillRect/>
                          </a:stretch>
                        </pic:blipFill>
                        <pic:spPr bwMode="auto">
                          <a:xfrm>
                            <a:off x="0" y="0"/>
                            <a:ext cx="2950210" cy="1173480"/>
                          </a:xfrm>
                          <a:prstGeom prst="rect">
                            <a:avLst/>
                          </a:prstGeom>
                          <a:noFill/>
                          <a:ln w="9525">
                            <a:noFill/>
                            <a:miter lim="800000"/>
                            <a:headEnd/>
                            <a:tailEnd/>
                          </a:ln>
                        </pic:spPr>
                      </pic:pic>
                    </a:graphicData>
                  </a:graphic>
                </wp:anchor>
              </w:drawing>
            </w:r>
          </w:p>
        </w:tc>
        <w:tc>
          <w:tcPr>
            <w:tcW w:w="6230" w:type="dxa"/>
            <w:tcBorders>
              <w:bottom w:val="single" w:sz="4" w:space="0" w:color="auto"/>
            </w:tcBorders>
            <w:vAlign w:val="center"/>
          </w:tcPr>
          <w:p w:rsidR="005D29F1" w:rsidRDefault="00D96702" w:rsidP="00D96702">
            <w:pPr>
              <w:pStyle w:val="Heading8"/>
              <w:ind w:left="0"/>
              <w:jc w:val="center"/>
              <w:rPr>
                <w:rFonts w:cs="Arial"/>
                <w:sz w:val="28"/>
                <w:szCs w:val="28"/>
              </w:rPr>
            </w:pPr>
            <w:r>
              <w:rPr>
                <w:rFonts w:cs="Arial"/>
                <w:sz w:val="28"/>
                <w:szCs w:val="28"/>
              </w:rPr>
              <w:t>M</w:t>
            </w:r>
            <w:r w:rsidR="00554BA7">
              <w:rPr>
                <w:rFonts w:cs="Arial"/>
                <w:sz w:val="28"/>
                <w:szCs w:val="28"/>
              </w:rPr>
              <w:t>eet in Missouri</w:t>
            </w:r>
          </w:p>
          <w:p w:rsidR="004259ED" w:rsidRPr="004259ED" w:rsidRDefault="004259ED" w:rsidP="00D96702">
            <w:pPr>
              <w:jc w:val="center"/>
              <w:rPr>
                <w:b/>
                <w:sz w:val="28"/>
                <w:szCs w:val="28"/>
              </w:rPr>
            </w:pPr>
            <w:r w:rsidRPr="004259ED">
              <w:rPr>
                <w:b/>
                <w:sz w:val="28"/>
                <w:szCs w:val="28"/>
              </w:rPr>
              <w:t>Program Guidelines</w:t>
            </w:r>
          </w:p>
          <w:p w:rsidR="005D29F1" w:rsidRDefault="005149F0" w:rsidP="00D96702">
            <w:pPr>
              <w:pStyle w:val="Heading8"/>
              <w:ind w:left="0"/>
              <w:jc w:val="center"/>
              <w:rPr>
                <w:rFonts w:cs="Arial"/>
                <w:b w:val="0"/>
                <w:i/>
                <w:sz w:val="28"/>
              </w:rPr>
            </w:pPr>
            <w:r>
              <w:rPr>
                <w:rFonts w:cs="Arial"/>
                <w:sz w:val="28"/>
              </w:rPr>
              <w:t>Department of Economic Development</w:t>
            </w:r>
          </w:p>
          <w:p w:rsidR="00632DAF" w:rsidRPr="00D96702" w:rsidRDefault="00D96702" w:rsidP="00B77BDB">
            <w:pPr>
              <w:pStyle w:val="Header"/>
              <w:jc w:val="center"/>
              <w:rPr>
                <w:i/>
                <w:sz w:val="16"/>
                <w:szCs w:val="16"/>
              </w:rPr>
            </w:pPr>
            <w:r w:rsidRPr="00D96702">
              <w:rPr>
                <w:i/>
                <w:sz w:val="16"/>
                <w:szCs w:val="16"/>
              </w:rPr>
              <w:t xml:space="preserve">Revised </w:t>
            </w:r>
            <w:r w:rsidR="00B77BDB">
              <w:rPr>
                <w:i/>
                <w:sz w:val="16"/>
                <w:szCs w:val="16"/>
              </w:rPr>
              <w:t>12</w:t>
            </w:r>
            <w:r w:rsidRPr="00D96702">
              <w:rPr>
                <w:i/>
                <w:sz w:val="16"/>
                <w:szCs w:val="16"/>
              </w:rPr>
              <w:t>/2016</w:t>
            </w:r>
          </w:p>
        </w:tc>
      </w:tr>
      <w:tr w:rsidR="00116BBC" w:rsidRPr="00DB560E" w:rsidTr="00530766">
        <w:trPr>
          <w:cantSplit/>
          <w:trHeight w:val="368"/>
        </w:trPr>
        <w:tc>
          <w:tcPr>
            <w:tcW w:w="10920" w:type="dxa"/>
            <w:gridSpan w:val="2"/>
            <w:tcBorders>
              <w:top w:val="single" w:sz="4" w:space="0" w:color="auto"/>
              <w:left w:val="nil"/>
              <w:bottom w:val="single" w:sz="4" w:space="0" w:color="auto"/>
            </w:tcBorders>
            <w:shd w:val="clear" w:color="auto" w:fill="B8CCE4"/>
          </w:tcPr>
          <w:p w:rsidR="00116BBC" w:rsidRPr="00814D39" w:rsidRDefault="000713A6" w:rsidP="00B53BAB">
            <w:pPr>
              <w:tabs>
                <w:tab w:val="num" w:pos="450"/>
              </w:tabs>
              <w:spacing w:before="120" w:after="120"/>
              <w:ind w:left="446" w:hanging="360"/>
              <w:rPr>
                <w:b/>
                <w:snapToGrid w:val="0"/>
                <w:color w:val="000000"/>
                <w:sz w:val="22"/>
                <w:szCs w:val="22"/>
              </w:rPr>
            </w:pPr>
            <w:r>
              <w:rPr>
                <w:b/>
                <w:snapToGrid w:val="0"/>
                <w:color w:val="000000"/>
                <w:sz w:val="22"/>
                <w:szCs w:val="22"/>
              </w:rPr>
              <w:t>PURPOSE</w:t>
            </w:r>
            <w:r w:rsidR="00BE04A2" w:rsidRPr="00814D39">
              <w:rPr>
                <w:b/>
                <w:snapToGrid w:val="0"/>
                <w:color w:val="000000"/>
                <w:sz w:val="22"/>
                <w:szCs w:val="22"/>
              </w:rPr>
              <w:t xml:space="preserve">: </w:t>
            </w:r>
          </w:p>
        </w:tc>
      </w:tr>
      <w:tr w:rsidR="000713A6" w:rsidRPr="00DB560E" w:rsidTr="00530766">
        <w:trPr>
          <w:cantSplit/>
          <w:trHeight w:hRule="exact" w:val="990"/>
        </w:trPr>
        <w:tc>
          <w:tcPr>
            <w:tcW w:w="10920" w:type="dxa"/>
            <w:gridSpan w:val="2"/>
            <w:tcBorders>
              <w:top w:val="single" w:sz="4" w:space="0" w:color="auto"/>
            </w:tcBorders>
          </w:tcPr>
          <w:p w:rsidR="000713A6" w:rsidRDefault="000713A6" w:rsidP="00B53BAB">
            <w:pPr>
              <w:tabs>
                <w:tab w:val="num" w:pos="450"/>
              </w:tabs>
              <w:spacing w:before="120" w:after="120"/>
              <w:ind w:left="90"/>
              <w:rPr>
                <w:sz w:val="22"/>
                <w:szCs w:val="22"/>
              </w:rPr>
            </w:pPr>
            <w:r w:rsidRPr="000713A6">
              <w:rPr>
                <w:sz w:val="22"/>
                <w:szCs w:val="22"/>
              </w:rPr>
              <w:t xml:space="preserve">The Meet in Missouri Act provides an incentive for Destination Marketing Organizations (DMOs) to attract major out-of-state conventions to the </w:t>
            </w:r>
            <w:r w:rsidR="00FC0194">
              <w:rPr>
                <w:sz w:val="22"/>
                <w:szCs w:val="22"/>
              </w:rPr>
              <w:t>S</w:t>
            </w:r>
            <w:r w:rsidRPr="000713A6">
              <w:rPr>
                <w:sz w:val="22"/>
                <w:szCs w:val="22"/>
              </w:rPr>
              <w:t>tate of Missouri. The Meet in Missouri Act was passed in May 2016 by the Missouri General Assembly, and became effective August 28, 2016.</w:t>
            </w:r>
          </w:p>
          <w:p w:rsidR="00B53BAB" w:rsidRPr="000713A6" w:rsidRDefault="00B53BAB" w:rsidP="00B53BAB">
            <w:pPr>
              <w:tabs>
                <w:tab w:val="num" w:pos="450"/>
              </w:tabs>
              <w:spacing w:before="120" w:after="120"/>
              <w:ind w:left="90"/>
              <w:rPr>
                <w:b/>
                <w:snapToGrid w:val="0"/>
                <w:color w:val="000000"/>
                <w:sz w:val="22"/>
                <w:szCs w:val="22"/>
              </w:rPr>
            </w:pPr>
          </w:p>
        </w:tc>
      </w:tr>
    </w:tbl>
    <w:tbl>
      <w:tblPr>
        <w:tblW w:w="10908" w:type="dxa"/>
        <w:jc w:val="center"/>
        <w:tblInd w:w="108" w:type="dxa"/>
        <w:tblBorders>
          <w:top w:val="single" w:sz="4" w:space="0" w:color="auto"/>
          <w:bottom w:val="single" w:sz="4" w:space="0" w:color="auto"/>
          <w:insideH w:val="single" w:sz="4" w:space="0" w:color="auto"/>
          <w:insideV w:val="single" w:sz="4" w:space="0" w:color="auto"/>
        </w:tblBorders>
        <w:tblLook w:val="00BF"/>
      </w:tblPr>
      <w:tblGrid>
        <w:gridCol w:w="10908"/>
      </w:tblGrid>
      <w:tr w:rsidR="00EF1366" w:rsidRPr="00DB07EB" w:rsidTr="00961681">
        <w:trPr>
          <w:trHeight w:val="314"/>
          <w:jc w:val="center"/>
        </w:trPr>
        <w:tc>
          <w:tcPr>
            <w:tcW w:w="10908" w:type="dxa"/>
            <w:tcBorders>
              <w:bottom w:val="single" w:sz="4" w:space="0" w:color="auto"/>
            </w:tcBorders>
            <w:shd w:val="clear" w:color="auto" w:fill="B8CCE4"/>
          </w:tcPr>
          <w:p w:rsidR="00EF1366" w:rsidRPr="00DB07EB" w:rsidRDefault="000713A6" w:rsidP="00B53BAB">
            <w:pPr>
              <w:keepNext/>
              <w:spacing w:before="120" w:after="120"/>
              <w:rPr>
                <w:snapToGrid w:val="0"/>
                <w:color w:val="000000"/>
                <w:sz w:val="18"/>
                <w:szCs w:val="18"/>
              </w:rPr>
            </w:pPr>
            <w:r>
              <w:rPr>
                <w:b/>
                <w:snapToGrid w:val="0"/>
                <w:color w:val="000000"/>
                <w:sz w:val="22"/>
                <w:szCs w:val="22"/>
              </w:rPr>
              <w:t>AUTHORIZATION</w:t>
            </w:r>
            <w:r w:rsidR="00BE04A2">
              <w:rPr>
                <w:b/>
                <w:snapToGrid w:val="0"/>
                <w:color w:val="000000"/>
                <w:sz w:val="22"/>
                <w:szCs w:val="22"/>
              </w:rPr>
              <w:t>:</w:t>
            </w:r>
          </w:p>
        </w:tc>
      </w:tr>
      <w:tr w:rsidR="0023784C" w:rsidRPr="00DB07EB" w:rsidTr="00961681">
        <w:trPr>
          <w:trHeight w:val="485"/>
          <w:jc w:val="center"/>
        </w:trPr>
        <w:tc>
          <w:tcPr>
            <w:tcW w:w="10908" w:type="dxa"/>
            <w:tcBorders>
              <w:top w:val="single" w:sz="4" w:space="0" w:color="auto"/>
              <w:bottom w:val="single" w:sz="4" w:space="0" w:color="auto"/>
            </w:tcBorders>
            <w:shd w:val="clear" w:color="auto" w:fill="auto"/>
          </w:tcPr>
          <w:p w:rsidR="006A39E1" w:rsidRDefault="000713A6" w:rsidP="00B53BAB">
            <w:pPr>
              <w:pStyle w:val="NoSpacing"/>
              <w:spacing w:before="120" w:after="120"/>
              <w:rPr>
                <w:sz w:val="22"/>
                <w:szCs w:val="22"/>
              </w:rPr>
            </w:pPr>
            <w:r w:rsidRPr="000713A6">
              <w:rPr>
                <w:sz w:val="22"/>
                <w:szCs w:val="22"/>
              </w:rPr>
              <w:t>Section 620.1620, RSMo</w:t>
            </w:r>
          </w:p>
          <w:p w:rsidR="00AF6C67" w:rsidRPr="00AF6C67" w:rsidRDefault="00AF6C67" w:rsidP="00B53BAB">
            <w:pPr>
              <w:pStyle w:val="NoSpacing"/>
              <w:spacing w:before="120" w:after="120"/>
              <w:ind w:left="360"/>
              <w:rPr>
                <w:b/>
                <w:sz w:val="24"/>
                <w:szCs w:val="24"/>
              </w:rPr>
            </w:pPr>
            <w:r>
              <w:rPr>
                <w:b/>
                <w:sz w:val="24"/>
                <w:szCs w:val="24"/>
              </w:rPr>
              <w:t xml:space="preserve">Note: </w:t>
            </w:r>
            <w:r w:rsidR="00CD10AF">
              <w:rPr>
                <w:b/>
                <w:sz w:val="24"/>
                <w:szCs w:val="24"/>
              </w:rPr>
              <w:t xml:space="preserve"> As of August 28, 2016, </w:t>
            </w:r>
            <w:r w:rsidR="00B12103">
              <w:rPr>
                <w:b/>
                <w:sz w:val="24"/>
                <w:szCs w:val="24"/>
              </w:rPr>
              <w:t>t</w:t>
            </w:r>
            <w:r w:rsidRPr="00E22F42">
              <w:rPr>
                <w:b/>
                <w:sz w:val="24"/>
                <w:szCs w:val="24"/>
              </w:rPr>
              <w:t xml:space="preserve">he Meet in Missouri Act is not funded. Until such time that funding is appropriated, the applicant will be notified </w:t>
            </w:r>
            <w:r w:rsidR="00E0129A">
              <w:rPr>
                <w:b/>
                <w:sz w:val="24"/>
                <w:szCs w:val="24"/>
              </w:rPr>
              <w:t>if</w:t>
            </w:r>
            <w:r w:rsidRPr="00E22F42">
              <w:rPr>
                <w:b/>
                <w:sz w:val="24"/>
                <w:szCs w:val="24"/>
              </w:rPr>
              <w:t xml:space="preserve"> the application has been </w:t>
            </w:r>
            <w:r w:rsidR="00E0129A">
              <w:rPr>
                <w:b/>
                <w:sz w:val="24"/>
                <w:szCs w:val="24"/>
              </w:rPr>
              <w:t xml:space="preserve">approved; however, the approval will be </w:t>
            </w:r>
            <w:r w:rsidR="00C5256E">
              <w:rPr>
                <w:b/>
                <w:sz w:val="24"/>
                <w:szCs w:val="24"/>
              </w:rPr>
              <w:t xml:space="preserve">contingent on appropriation by the </w:t>
            </w:r>
            <w:r w:rsidR="00B12103">
              <w:rPr>
                <w:b/>
                <w:sz w:val="24"/>
                <w:szCs w:val="24"/>
              </w:rPr>
              <w:t>Missouri G</w:t>
            </w:r>
            <w:r w:rsidR="00C5256E">
              <w:rPr>
                <w:b/>
                <w:sz w:val="24"/>
                <w:szCs w:val="24"/>
              </w:rPr>
              <w:t xml:space="preserve">eneral </w:t>
            </w:r>
            <w:r w:rsidR="00B12103">
              <w:rPr>
                <w:b/>
                <w:sz w:val="24"/>
                <w:szCs w:val="24"/>
              </w:rPr>
              <w:t>A</w:t>
            </w:r>
            <w:r w:rsidR="00C5256E">
              <w:rPr>
                <w:b/>
                <w:sz w:val="24"/>
                <w:szCs w:val="24"/>
              </w:rPr>
              <w:t xml:space="preserve">ssembly. Grant amounts will be </w:t>
            </w:r>
            <w:r w:rsidR="00E0129A">
              <w:rPr>
                <w:b/>
                <w:sz w:val="24"/>
                <w:szCs w:val="24"/>
              </w:rPr>
              <w:t>dispersed</w:t>
            </w:r>
            <w:r w:rsidR="00C5256E">
              <w:rPr>
                <w:b/>
                <w:sz w:val="24"/>
                <w:szCs w:val="24"/>
              </w:rPr>
              <w:t xml:space="preserve"> if and when an appropriation is made to the </w:t>
            </w:r>
            <w:r w:rsidR="00B12103">
              <w:rPr>
                <w:b/>
                <w:sz w:val="24"/>
                <w:szCs w:val="24"/>
              </w:rPr>
              <w:t>Major Economic Convention Event in Missouri Fund</w:t>
            </w:r>
            <w:r w:rsidR="00C5256E">
              <w:rPr>
                <w:b/>
                <w:sz w:val="24"/>
                <w:szCs w:val="24"/>
              </w:rPr>
              <w:t>.</w:t>
            </w:r>
          </w:p>
        </w:tc>
      </w:tr>
      <w:tr w:rsidR="0089265D" w:rsidTr="00961681">
        <w:tblPrEx>
          <w:tblBorders>
            <w:left w:val="single" w:sz="4" w:space="0" w:color="auto"/>
            <w:right w:val="single" w:sz="4" w:space="0" w:color="auto"/>
          </w:tblBorders>
          <w:tblLook w:val="0000"/>
        </w:tblPrEx>
        <w:trPr>
          <w:trHeight w:val="422"/>
          <w:jc w:val="center"/>
        </w:trPr>
        <w:tc>
          <w:tcPr>
            <w:tcW w:w="10908" w:type="dxa"/>
            <w:tcBorders>
              <w:top w:val="single" w:sz="4" w:space="0" w:color="auto"/>
              <w:left w:val="nil"/>
              <w:bottom w:val="single" w:sz="4" w:space="0" w:color="auto"/>
              <w:right w:val="nil"/>
            </w:tcBorders>
            <w:shd w:val="clear" w:color="auto" w:fill="B8CCE4"/>
            <w:vAlign w:val="center"/>
          </w:tcPr>
          <w:p w:rsidR="0089265D" w:rsidRDefault="000713A6" w:rsidP="00B53BAB">
            <w:pPr>
              <w:spacing w:before="120" w:after="120"/>
              <w:rPr>
                <w:sz w:val="4"/>
                <w:szCs w:val="4"/>
              </w:rPr>
            </w:pPr>
            <w:r>
              <w:rPr>
                <w:b/>
                <w:snapToGrid w:val="0"/>
                <w:color w:val="000000"/>
                <w:sz w:val="22"/>
                <w:szCs w:val="22"/>
              </w:rPr>
              <w:t>ELIGIBLE APPLICANTS</w:t>
            </w:r>
            <w:r w:rsidR="0089265D">
              <w:rPr>
                <w:b/>
                <w:snapToGrid w:val="0"/>
                <w:color w:val="000000"/>
                <w:sz w:val="22"/>
                <w:szCs w:val="22"/>
              </w:rPr>
              <w:t xml:space="preserve">:  </w:t>
            </w:r>
          </w:p>
        </w:tc>
      </w:tr>
      <w:tr w:rsidR="0089265D" w:rsidTr="00961681">
        <w:tblPrEx>
          <w:tblBorders>
            <w:left w:val="single" w:sz="4" w:space="0" w:color="auto"/>
            <w:right w:val="single" w:sz="4" w:space="0" w:color="auto"/>
          </w:tblBorders>
          <w:tblLook w:val="0000"/>
        </w:tblPrEx>
        <w:trPr>
          <w:trHeight w:val="368"/>
          <w:jc w:val="center"/>
        </w:trPr>
        <w:tc>
          <w:tcPr>
            <w:tcW w:w="10908" w:type="dxa"/>
            <w:tcBorders>
              <w:top w:val="single" w:sz="4" w:space="0" w:color="auto"/>
              <w:left w:val="nil"/>
              <w:bottom w:val="single" w:sz="4" w:space="0" w:color="auto"/>
              <w:right w:val="nil"/>
            </w:tcBorders>
            <w:shd w:val="clear" w:color="auto" w:fill="auto"/>
            <w:vAlign w:val="center"/>
          </w:tcPr>
          <w:p w:rsidR="0089265D" w:rsidRDefault="000713A6" w:rsidP="00B53BAB">
            <w:pPr>
              <w:spacing w:before="120" w:after="120"/>
              <w:ind w:left="396"/>
              <w:rPr>
                <w:b/>
                <w:snapToGrid w:val="0"/>
                <w:color w:val="000000"/>
                <w:sz w:val="22"/>
                <w:szCs w:val="22"/>
              </w:rPr>
            </w:pPr>
            <w:r>
              <w:rPr>
                <w:snapToGrid w:val="0"/>
                <w:color w:val="000000"/>
                <w:sz w:val="22"/>
                <w:szCs w:val="22"/>
              </w:rPr>
              <w:t xml:space="preserve">A regional convention and visitors commission created under section 67.601, RSMo, </w:t>
            </w:r>
            <w:r w:rsidRPr="000713A6">
              <w:rPr>
                <w:b/>
                <w:snapToGrid w:val="0"/>
                <w:color w:val="000000"/>
                <w:sz w:val="22"/>
                <w:szCs w:val="22"/>
              </w:rPr>
              <w:t>OR</w:t>
            </w:r>
          </w:p>
        </w:tc>
      </w:tr>
      <w:tr w:rsidR="0089265D" w:rsidTr="00961681">
        <w:tblPrEx>
          <w:tblBorders>
            <w:left w:val="single" w:sz="4" w:space="0" w:color="auto"/>
            <w:right w:val="single" w:sz="4" w:space="0" w:color="auto"/>
          </w:tblBorders>
          <w:tblLook w:val="0000"/>
        </w:tblPrEx>
        <w:trPr>
          <w:trHeight w:val="446"/>
          <w:jc w:val="center"/>
        </w:trPr>
        <w:tc>
          <w:tcPr>
            <w:tcW w:w="10908" w:type="dxa"/>
            <w:tcBorders>
              <w:top w:val="single" w:sz="4" w:space="0" w:color="auto"/>
              <w:left w:val="nil"/>
              <w:bottom w:val="single" w:sz="4" w:space="0" w:color="auto"/>
              <w:right w:val="nil"/>
            </w:tcBorders>
            <w:shd w:val="clear" w:color="auto" w:fill="auto"/>
            <w:vAlign w:val="center"/>
          </w:tcPr>
          <w:p w:rsidR="0089265D" w:rsidRPr="000713A6" w:rsidRDefault="000713A6" w:rsidP="00B53BAB">
            <w:pPr>
              <w:spacing w:before="120" w:after="120"/>
              <w:ind w:left="403"/>
              <w:rPr>
                <w:snapToGrid w:val="0"/>
                <w:color w:val="000000"/>
                <w:sz w:val="22"/>
                <w:szCs w:val="22"/>
              </w:rPr>
            </w:pPr>
            <w:r w:rsidRPr="000713A6">
              <w:rPr>
                <w:snapToGrid w:val="0"/>
                <w:color w:val="000000"/>
                <w:sz w:val="22"/>
                <w:szCs w:val="22"/>
              </w:rPr>
              <w:t xml:space="preserve">An official </w:t>
            </w:r>
            <w:r w:rsidRPr="000713A6">
              <w:rPr>
                <w:sz w:val="22"/>
                <w:szCs w:val="22"/>
              </w:rPr>
              <w:t>DMO for a Missouri county, which is designated as the single representative organization for the county to solicit and service tourism, as designated by the Missouri Division of Tourism.</w:t>
            </w:r>
          </w:p>
        </w:tc>
      </w:tr>
      <w:tr w:rsidR="0089265D" w:rsidTr="00961681">
        <w:tblPrEx>
          <w:tblBorders>
            <w:left w:val="single" w:sz="4" w:space="0" w:color="auto"/>
            <w:right w:val="single" w:sz="4" w:space="0" w:color="auto"/>
          </w:tblBorders>
          <w:tblLook w:val="0000"/>
        </w:tblPrEx>
        <w:trPr>
          <w:trHeight w:val="341"/>
          <w:jc w:val="center"/>
        </w:trPr>
        <w:tc>
          <w:tcPr>
            <w:tcW w:w="10908" w:type="dxa"/>
            <w:tcBorders>
              <w:top w:val="single" w:sz="4" w:space="0" w:color="auto"/>
              <w:left w:val="nil"/>
              <w:bottom w:val="single" w:sz="4" w:space="0" w:color="auto"/>
              <w:right w:val="nil"/>
            </w:tcBorders>
            <w:shd w:val="clear" w:color="auto" w:fill="B8CCE4"/>
            <w:vAlign w:val="center"/>
          </w:tcPr>
          <w:p w:rsidR="0089265D" w:rsidRPr="00AE7F5D" w:rsidRDefault="000713A6" w:rsidP="00B53BAB">
            <w:pPr>
              <w:spacing w:before="120" w:after="120"/>
              <w:rPr>
                <w:b/>
                <w:sz w:val="18"/>
                <w:szCs w:val="18"/>
              </w:rPr>
            </w:pPr>
            <w:r>
              <w:rPr>
                <w:b/>
                <w:sz w:val="22"/>
                <w:szCs w:val="18"/>
              </w:rPr>
              <w:t>ELIGIBLE CONVENTIONS</w:t>
            </w:r>
            <w:r w:rsidR="0089265D" w:rsidRPr="00AE7F5D">
              <w:rPr>
                <w:b/>
                <w:sz w:val="22"/>
                <w:szCs w:val="18"/>
              </w:rPr>
              <w:t>:</w:t>
            </w:r>
          </w:p>
        </w:tc>
      </w:tr>
      <w:tr w:rsidR="0089265D" w:rsidTr="00961681">
        <w:tblPrEx>
          <w:tblBorders>
            <w:left w:val="single" w:sz="4" w:space="0" w:color="auto"/>
            <w:right w:val="single" w:sz="4" w:space="0" w:color="auto"/>
          </w:tblBorders>
          <w:tblLook w:val="0000"/>
        </w:tblPrEx>
        <w:trPr>
          <w:trHeight w:val="827"/>
          <w:jc w:val="center"/>
        </w:trPr>
        <w:tc>
          <w:tcPr>
            <w:tcW w:w="10908" w:type="dxa"/>
            <w:tcBorders>
              <w:top w:val="single" w:sz="4" w:space="0" w:color="auto"/>
              <w:left w:val="nil"/>
              <w:bottom w:val="single" w:sz="4" w:space="0" w:color="auto"/>
              <w:right w:val="nil"/>
            </w:tcBorders>
            <w:shd w:val="clear" w:color="auto" w:fill="auto"/>
          </w:tcPr>
          <w:p w:rsidR="0089265D" w:rsidRPr="00E22F42" w:rsidRDefault="000713A6" w:rsidP="00B53BAB">
            <w:pPr>
              <w:spacing w:before="120" w:after="120"/>
              <w:ind w:left="396"/>
              <w:rPr>
                <w:b/>
                <w:sz w:val="22"/>
                <w:szCs w:val="22"/>
              </w:rPr>
            </w:pPr>
            <w:r w:rsidRPr="00E22F42">
              <w:rPr>
                <w:sz w:val="22"/>
                <w:szCs w:val="22"/>
              </w:rPr>
              <w:t>Any major convention event where more than 50% of the attendees travel to the convention from outside of Missouri and require overnight hotel accommodations.</w:t>
            </w:r>
            <w:r w:rsidR="00C5256E">
              <w:rPr>
                <w:sz w:val="22"/>
                <w:szCs w:val="22"/>
              </w:rPr>
              <w:t xml:space="preserve"> </w:t>
            </w:r>
            <w:r w:rsidR="00E0129A">
              <w:rPr>
                <w:sz w:val="22"/>
                <w:szCs w:val="22"/>
              </w:rPr>
              <w:t>A presumption is made that out-of-state attendees require overnight hotel accommodations.</w:t>
            </w:r>
          </w:p>
        </w:tc>
      </w:tr>
      <w:tr w:rsidR="0089265D" w:rsidTr="00961681">
        <w:tblPrEx>
          <w:tblBorders>
            <w:left w:val="single" w:sz="4" w:space="0" w:color="auto"/>
            <w:right w:val="single" w:sz="4" w:space="0" w:color="auto"/>
          </w:tblBorders>
          <w:tblLook w:val="0000"/>
        </w:tblPrEx>
        <w:trPr>
          <w:trHeight w:val="377"/>
          <w:jc w:val="center"/>
        </w:trPr>
        <w:tc>
          <w:tcPr>
            <w:tcW w:w="10908" w:type="dxa"/>
            <w:tcBorders>
              <w:top w:val="single" w:sz="4" w:space="0" w:color="auto"/>
              <w:left w:val="nil"/>
              <w:bottom w:val="single" w:sz="4" w:space="0" w:color="auto"/>
              <w:right w:val="nil"/>
            </w:tcBorders>
            <w:shd w:val="clear" w:color="auto" w:fill="auto"/>
          </w:tcPr>
          <w:p w:rsidR="0089265D" w:rsidRPr="00E22F42" w:rsidRDefault="000713A6" w:rsidP="00B53BAB">
            <w:pPr>
              <w:spacing w:before="120" w:after="120"/>
              <w:ind w:left="396"/>
              <w:rPr>
                <w:rFonts w:cs="Arial"/>
                <w:b/>
                <w:snapToGrid w:val="0"/>
                <w:color w:val="000000"/>
                <w:sz w:val="22"/>
                <w:szCs w:val="22"/>
              </w:rPr>
            </w:pPr>
            <w:r w:rsidRPr="00E22F42">
              <w:rPr>
                <w:rFonts w:cs="Arial"/>
                <w:snapToGrid w:val="0"/>
                <w:color w:val="000000"/>
                <w:sz w:val="22"/>
                <w:szCs w:val="22"/>
              </w:rPr>
              <w:t>The</w:t>
            </w:r>
            <w:r w:rsidRPr="00E22F42">
              <w:rPr>
                <w:sz w:val="22"/>
                <w:szCs w:val="22"/>
              </w:rPr>
              <w:t xml:space="preserve"> convention start and end dates are no later than five years from the date of the application.</w:t>
            </w:r>
          </w:p>
        </w:tc>
      </w:tr>
      <w:tr w:rsidR="0089265D" w:rsidTr="00961681">
        <w:tblPrEx>
          <w:tblBorders>
            <w:left w:val="single" w:sz="4" w:space="0" w:color="auto"/>
            <w:right w:val="single" w:sz="4" w:space="0" w:color="auto"/>
          </w:tblBorders>
          <w:tblLook w:val="0000"/>
        </w:tblPrEx>
        <w:trPr>
          <w:trHeight w:val="359"/>
          <w:jc w:val="center"/>
        </w:trPr>
        <w:tc>
          <w:tcPr>
            <w:tcW w:w="10908" w:type="dxa"/>
            <w:tcBorders>
              <w:top w:val="single" w:sz="4" w:space="0" w:color="auto"/>
              <w:left w:val="nil"/>
              <w:bottom w:val="single" w:sz="4" w:space="0" w:color="auto"/>
              <w:right w:val="nil"/>
            </w:tcBorders>
            <w:shd w:val="clear" w:color="auto" w:fill="auto"/>
          </w:tcPr>
          <w:p w:rsidR="0089265D" w:rsidRPr="00E22F42" w:rsidRDefault="000713A6" w:rsidP="00B53BAB">
            <w:pPr>
              <w:spacing w:before="120" w:after="120"/>
              <w:ind w:left="396"/>
              <w:rPr>
                <w:b/>
                <w:sz w:val="22"/>
                <w:szCs w:val="22"/>
              </w:rPr>
            </w:pPr>
            <w:r w:rsidRPr="00E22F42">
              <w:rPr>
                <w:sz w:val="22"/>
                <w:szCs w:val="22"/>
              </w:rPr>
              <w:t xml:space="preserve">The </w:t>
            </w:r>
            <w:r w:rsidR="00541D1D">
              <w:rPr>
                <w:sz w:val="22"/>
                <w:szCs w:val="22"/>
              </w:rPr>
              <w:t>commission/DMO</w:t>
            </w:r>
            <w:r w:rsidRPr="00E22F42">
              <w:rPr>
                <w:sz w:val="22"/>
                <w:szCs w:val="22"/>
              </w:rPr>
              <w:t xml:space="preserve"> must be competing for the event against non-Missouri cities.</w:t>
            </w:r>
          </w:p>
        </w:tc>
      </w:tr>
      <w:tr w:rsidR="0089265D" w:rsidTr="00961681">
        <w:tblPrEx>
          <w:tblBorders>
            <w:left w:val="single" w:sz="4" w:space="0" w:color="auto"/>
            <w:right w:val="single" w:sz="4" w:space="0" w:color="auto"/>
          </w:tblBorders>
          <w:tblLook w:val="0000"/>
        </w:tblPrEx>
        <w:trPr>
          <w:trHeight w:val="422"/>
          <w:jc w:val="center"/>
        </w:trPr>
        <w:tc>
          <w:tcPr>
            <w:tcW w:w="10908" w:type="dxa"/>
            <w:tcBorders>
              <w:top w:val="single" w:sz="4" w:space="0" w:color="auto"/>
              <w:left w:val="nil"/>
              <w:bottom w:val="nil"/>
              <w:right w:val="nil"/>
            </w:tcBorders>
            <w:shd w:val="clear" w:color="auto" w:fill="auto"/>
          </w:tcPr>
          <w:p w:rsidR="0089265D" w:rsidRPr="0081332A" w:rsidRDefault="000713A6" w:rsidP="00B53BAB">
            <w:pPr>
              <w:spacing w:before="120" w:after="120"/>
              <w:ind w:left="396"/>
              <w:rPr>
                <w:rFonts w:cs="Arial"/>
                <w:b/>
                <w:snapToGrid w:val="0"/>
                <w:color w:val="000000"/>
                <w:sz w:val="22"/>
                <w:szCs w:val="22"/>
              </w:rPr>
            </w:pPr>
            <w:r w:rsidRPr="0081332A">
              <w:rPr>
                <w:rFonts w:cs="Arial"/>
                <w:snapToGrid w:val="0"/>
                <w:color w:val="000000"/>
                <w:sz w:val="22"/>
                <w:szCs w:val="22"/>
              </w:rPr>
              <w:t xml:space="preserve">Without </w:t>
            </w:r>
            <w:r w:rsidRPr="0081332A">
              <w:rPr>
                <w:sz w:val="22"/>
                <w:szCs w:val="22"/>
              </w:rPr>
              <w:t xml:space="preserve">the grant, the convention would not be reasonably anticipated to occur in Missouri. </w:t>
            </w:r>
            <w:r w:rsidR="00E0129A">
              <w:rPr>
                <w:sz w:val="22"/>
                <w:szCs w:val="22"/>
              </w:rPr>
              <w:t>Some f</w:t>
            </w:r>
            <w:r w:rsidRPr="0081332A">
              <w:rPr>
                <w:sz w:val="22"/>
                <w:szCs w:val="22"/>
              </w:rPr>
              <w:t xml:space="preserve">actors </w:t>
            </w:r>
            <w:r w:rsidR="00A41745">
              <w:rPr>
                <w:sz w:val="22"/>
                <w:szCs w:val="22"/>
              </w:rPr>
              <w:t xml:space="preserve">that </w:t>
            </w:r>
            <w:r w:rsidR="00E0129A">
              <w:rPr>
                <w:sz w:val="22"/>
                <w:szCs w:val="22"/>
              </w:rPr>
              <w:t>may</w:t>
            </w:r>
            <w:r w:rsidR="00A41745">
              <w:rPr>
                <w:sz w:val="22"/>
                <w:szCs w:val="22"/>
              </w:rPr>
              <w:t xml:space="preserve"> </w:t>
            </w:r>
            <w:r w:rsidR="00A41745" w:rsidRPr="00F90988">
              <w:rPr>
                <w:sz w:val="22"/>
                <w:szCs w:val="22"/>
                <w:u w:val="single"/>
              </w:rPr>
              <w:t>not</w:t>
            </w:r>
            <w:r w:rsidR="00A41745">
              <w:rPr>
                <w:sz w:val="22"/>
                <w:szCs w:val="22"/>
              </w:rPr>
              <w:t xml:space="preserve"> support this</w:t>
            </w:r>
            <w:r w:rsidR="00E0129A">
              <w:rPr>
                <w:sz w:val="22"/>
                <w:szCs w:val="22"/>
              </w:rPr>
              <w:t xml:space="preserve"> </w:t>
            </w:r>
            <w:r w:rsidRPr="0081332A">
              <w:rPr>
                <w:sz w:val="22"/>
                <w:szCs w:val="22"/>
              </w:rPr>
              <w:t>include:</w:t>
            </w:r>
          </w:p>
          <w:p w:rsidR="00E22F42" w:rsidRPr="0081332A" w:rsidRDefault="000713A6" w:rsidP="00B53BAB">
            <w:pPr>
              <w:numPr>
                <w:ilvl w:val="1"/>
                <w:numId w:val="2"/>
              </w:numPr>
              <w:spacing w:before="120" w:after="120"/>
              <w:rPr>
                <w:rFonts w:cs="Arial"/>
                <w:b/>
                <w:snapToGrid w:val="0"/>
                <w:color w:val="000000"/>
                <w:sz w:val="22"/>
                <w:szCs w:val="22"/>
              </w:rPr>
            </w:pPr>
            <w:r w:rsidRPr="0081332A">
              <w:rPr>
                <w:sz w:val="22"/>
                <w:szCs w:val="22"/>
              </w:rPr>
              <w:t xml:space="preserve">A </w:t>
            </w:r>
            <w:r w:rsidR="00E22F42" w:rsidRPr="0081332A">
              <w:rPr>
                <w:sz w:val="22"/>
                <w:szCs w:val="22"/>
              </w:rPr>
              <w:t xml:space="preserve">convention that has occurred in Missouri within the past </w:t>
            </w:r>
            <w:r w:rsidR="00E0129A">
              <w:rPr>
                <w:sz w:val="22"/>
                <w:szCs w:val="22"/>
              </w:rPr>
              <w:t>several</w:t>
            </w:r>
            <w:r w:rsidR="00E22F42" w:rsidRPr="0081332A">
              <w:rPr>
                <w:sz w:val="22"/>
                <w:szCs w:val="22"/>
              </w:rPr>
              <w:t xml:space="preserve"> </w:t>
            </w:r>
            <w:r w:rsidR="00E0129A">
              <w:rPr>
                <w:sz w:val="22"/>
                <w:szCs w:val="22"/>
              </w:rPr>
              <w:t>years</w:t>
            </w:r>
            <w:r w:rsidR="00E22F42" w:rsidRPr="0081332A">
              <w:rPr>
                <w:sz w:val="22"/>
                <w:szCs w:val="22"/>
              </w:rPr>
              <w:t xml:space="preserve"> </w:t>
            </w:r>
            <w:r w:rsidR="00E0129A">
              <w:rPr>
                <w:sz w:val="22"/>
                <w:szCs w:val="22"/>
              </w:rPr>
              <w:t>may be</w:t>
            </w:r>
            <w:r w:rsidR="00E22F42" w:rsidRPr="0081332A">
              <w:rPr>
                <w:sz w:val="22"/>
                <w:szCs w:val="22"/>
              </w:rPr>
              <w:t xml:space="preserve"> considered an event that is reasonably anticipated to occur in Missouri and does not generally meet this qualification.</w:t>
            </w:r>
          </w:p>
          <w:p w:rsidR="00E22F42" w:rsidRPr="0081332A" w:rsidRDefault="00E22F42" w:rsidP="00B53BAB">
            <w:pPr>
              <w:numPr>
                <w:ilvl w:val="1"/>
                <w:numId w:val="2"/>
              </w:numPr>
              <w:spacing w:before="120" w:after="120"/>
              <w:rPr>
                <w:rFonts w:cs="Arial"/>
                <w:b/>
                <w:snapToGrid w:val="0"/>
                <w:color w:val="000000"/>
                <w:sz w:val="22"/>
                <w:szCs w:val="22"/>
              </w:rPr>
            </w:pPr>
            <w:r w:rsidRPr="0081332A">
              <w:rPr>
                <w:sz w:val="22"/>
                <w:szCs w:val="22"/>
              </w:rPr>
              <w:t>A convention that has been awarded does not generally meet this qualification.</w:t>
            </w:r>
          </w:p>
          <w:p w:rsidR="00E22F42" w:rsidRPr="00B53BAB" w:rsidRDefault="00E22F42" w:rsidP="00B53BAB">
            <w:pPr>
              <w:numPr>
                <w:ilvl w:val="1"/>
                <w:numId w:val="2"/>
              </w:numPr>
              <w:spacing w:before="120" w:after="120"/>
              <w:rPr>
                <w:rFonts w:cs="Arial"/>
                <w:b/>
                <w:snapToGrid w:val="0"/>
                <w:color w:val="000000"/>
                <w:sz w:val="22"/>
                <w:szCs w:val="22"/>
              </w:rPr>
            </w:pPr>
            <w:r w:rsidRPr="0081332A">
              <w:rPr>
                <w:rFonts w:cs="Arial"/>
                <w:snapToGrid w:val="0"/>
                <w:color w:val="000000"/>
                <w:sz w:val="22"/>
                <w:szCs w:val="22"/>
              </w:rPr>
              <w:t xml:space="preserve">A </w:t>
            </w:r>
            <w:r w:rsidRPr="0081332A">
              <w:rPr>
                <w:sz w:val="22"/>
                <w:szCs w:val="22"/>
              </w:rPr>
              <w:t>convention that rotates on a scheduled basis, with Missouri included in the scheduled rotation does not generally meet this qualification.</w:t>
            </w:r>
          </w:p>
          <w:p w:rsidR="00B53BAB" w:rsidRPr="0081332A" w:rsidRDefault="00B53BAB" w:rsidP="00B53BAB">
            <w:pPr>
              <w:spacing w:before="120" w:after="120"/>
              <w:ind w:left="1116"/>
              <w:rPr>
                <w:rFonts w:cs="Arial"/>
                <w:b/>
                <w:snapToGrid w:val="0"/>
                <w:color w:val="000000"/>
                <w:sz w:val="22"/>
                <w:szCs w:val="22"/>
              </w:rPr>
            </w:pPr>
          </w:p>
        </w:tc>
      </w:tr>
      <w:tr w:rsidR="000713A6" w:rsidTr="00961681">
        <w:tblPrEx>
          <w:tblBorders>
            <w:left w:val="single" w:sz="4" w:space="0" w:color="auto"/>
            <w:right w:val="single" w:sz="4" w:space="0" w:color="auto"/>
          </w:tblBorders>
          <w:tblLook w:val="0000"/>
        </w:tblPrEx>
        <w:trPr>
          <w:trHeight w:val="422"/>
          <w:jc w:val="center"/>
        </w:trPr>
        <w:tc>
          <w:tcPr>
            <w:tcW w:w="10908" w:type="dxa"/>
            <w:tcBorders>
              <w:top w:val="nil"/>
              <w:left w:val="nil"/>
              <w:bottom w:val="single" w:sz="4" w:space="0" w:color="auto"/>
              <w:right w:val="nil"/>
            </w:tcBorders>
            <w:shd w:val="clear" w:color="auto" w:fill="auto"/>
          </w:tcPr>
          <w:p w:rsidR="000713A6" w:rsidRPr="0081332A" w:rsidRDefault="0081332A" w:rsidP="00B53BAB">
            <w:pPr>
              <w:spacing w:before="120" w:after="120"/>
              <w:ind w:left="396"/>
              <w:rPr>
                <w:rFonts w:cs="Arial"/>
                <w:b/>
                <w:snapToGrid w:val="0"/>
                <w:color w:val="000000"/>
                <w:sz w:val="22"/>
                <w:szCs w:val="22"/>
              </w:rPr>
            </w:pPr>
            <w:r w:rsidRPr="0081332A">
              <w:rPr>
                <w:rFonts w:cs="Arial"/>
                <w:snapToGrid w:val="0"/>
                <w:color w:val="000000"/>
                <w:sz w:val="22"/>
                <w:szCs w:val="22"/>
              </w:rPr>
              <w:lastRenderedPageBreak/>
              <w:t>T</w:t>
            </w:r>
            <w:r w:rsidR="00E22F42" w:rsidRPr="0081332A">
              <w:rPr>
                <w:rFonts w:cs="Arial"/>
                <w:snapToGrid w:val="0"/>
                <w:color w:val="000000"/>
                <w:sz w:val="22"/>
                <w:szCs w:val="22"/>
              </w:rPr>
              <w:t xml:space="preserve">he </w:t>
            </w:r>
            <w:r w:rsidR="00E22F42" w:rsidRPr="0081332A">
              <w:rPr>
                <w:sz w:val="22"/>
                <w:szCs w:val="22"/>
              </w:rPr>
              <w:t>positive net fiscal impact to the general revenue of the state through any and all taxes attributed to the convention exceeds the amount of the major convention grant.</w:t>
            </w:r>
            <w:r w:rsidR="00C124C3">
              <w:rPr>
                <w:sz w:val="22"/>
                <w:szCs w:val="22"/>
              </w:rPr>
              <w:t xml:space="preserve"> This is to include only Missouri taxes.</w:t>
            </w:r>
          </w:p>
          <w:p w:rsidR="00E22F42" w:rsidRPr="00715A9F" w:rsidRDefault="003A05F9" w:rsidP="00B53BAB">
            <w:pPr>
              <w:numPr>
                <w:ilvl w:val="1"/>
                <w:numId w:val="2"/>
              </w:numPr>
              <w:spacing w:before="120" w:after="120"/>
              <w:rPr>
                <w:rFonts w:cs="Arial"/>
                <w:b/>
                <w:snapToGrid w:val="0"/>
                <w:color w:val="000000"/>
                <w:sz w:val="22"/>
                <w:szCs w:val="22"/>
              </w:rPr>
            </w:pPr>
            <w:r>
              <w:rPr>
                <w:sz w:val="22"/>
                <w:szCs w:val="22"/>
              </w:rPr>
              <w:t>The</w:t>
            </w:r>
            <w:r w:rsidR="00E22F42" w:rsidRPr="0081332A">
              <w:rPr>
                <w:sz w:val="22"/>
                <w:szCs w:val="22"/>
              </w:rPr>
              <w:t xml:space="preserve"> positive net fiscal impact </w:t>
            </w:r>
            <w:r>
              <w:rPr>
                <w:sz w:val="22"/>
                <w:szCs w:val="22"/>
              </w:rPr>
              <w:t xml:space="preserve">will be determined </w:t>
            </w:r>
            <w:r w:rsidR="00E22F42" w:rsidRPr="0081332A">
              <w:rPr>
                <w:sz w:val="22"/>
                <w:szCs w:val="22"/>
              </w:rPr>
              <w:t>using the Destination Marketing Association International (DMAI) Event Impact Calculator.</w:t>
            </w:r>
            <w:r w:rsidR="00C124C3">
              <w:rPr>
                <w:sz w:val="22"/>
                <w:szCs w:val="22"/>
              </w:rPr>
              <w:t xml:space="preserve"> This DMAI calculator is considered the industry standard and will supply all anticipated Missouri tax revenue for the Meet in Missouri Act application.</w:t>
            </w:r>
          </w:p>
        </w:tc>
      </w:tr>
      <w:tr w:rsidR="0089265D" w:rsidTr="00961681">
        <w:tblPrEx>
          <w:tblBorders>
            <w:left w:val="single" w:sz="4" w:space="0" w:color="auto"/>
            <w:right w:val="single" w:sz="4" w:space="0" w:color="auto"/>
          </w:tblBorders>
          <w:tblLook w:val="0000"/>
        </w:tblPrEx>
        <w:trPr>
          <w:trHeight w:val="404"/>
          <w:jc w:val="center"/>
        </w:trPr>
        <w:tc>
          <w:tcPr>
            <w:tcW w:w="10908" w:type="dxa"/>
            <w:tcBorders>
              <w:top w:val="single" w:sz="4" w:space="0" w:color="auto"/>
              <w:left w:val="nil"/>
              <w:bottom w:val="single" w:sz="4" w:space="0" w:color="auto"/>
              <w:right w:val="nil"/>
            </w:tcBorders>
            <w:shd w:val="clear" w:color="auto" w:fill="B8CCE4"/>
            <w:vAlign w:val="center"/>
          </w:tcPr>
          <w:p w:rsidR="0089265D" w:rsidRPr="0081332A" w:rsidRDefault="00E22F42" w:rsidP="00B53BAB">
            <w:pPr>
              <w:spacing w:before="120" w:after="120"/>
              <w:rPr>
                <w:sz w:val="22"/>
                <w:szCs w:val="22"/>
              </w:rPr>
            </w:pPr>
            <w:r w:rsidRPr="0081332A">
              <w:rPr>
                <w:b/>
                <w:sz w:val="22"/>
                <w:szCs w:val="22"/>
              </w:rPr>
              <w:t>FUNDING LIMITS</w:t>
            </w:r>
            <w:r w:rsidR="0089265D" w:rsidRPr="0081332A">
              <w:rPr>
                <w:b/>
                <w:sz w:val="22"/>
                <w:szCs w:val="22"/>
              </w:rPr>
              <w:t>:</w:t>
            </w:r>
          </w:p>
        </w:tc>
      </w:tr>
      <w:tr w:rsidR="007328B2" w:rsidTr="00961681">
        <w:tblPrEx>
          <w:tblBorders>
            <w:left w:val="single" w:sz="4" w:space="0" w:color="auto"/>
            <w:right w:val="single" w:sz="4" w:space="0" w:color="auto"/>
          </w:tblBorders>
          <w:tblLook w:val="0000"/>
        </w:tblPrEx>
        <w:trPr>
          <w:trHeight w:val="350"/>
          <w:jc w:val="center"/>
        </w:trPr>
        <w:tc>
          <w:tcPr>
            <w:tcW w:w="10908" w:type="dxa"/>
            <w:tcBorders>
              <w:top w:val="single" w:sz="4" w:space="0" w:color="auto"/>
              <w:left w:val="nil"/>
              <w:bottom w:val="single" w:sz="4" w:space="0" w:color="auto"/>
              <w:right w:val="nil"/>
            </w:tcBorders>
            <w:shd w:val="clear" w:color="auto" w:fill="auto"/>
          </w:tcPr>
          <w:p w:rsidR="007328B2" w:rsidRPr="0081332A" w:rsidRDefault="0081332A" w:rsidP="00B53BAB">
            <w:pPr>
              <w:spacing w:before="120" w:after="120"/>
              <w:ind w:left="396"/>
              <w:rPr>
                <w:sz w:val="22"/>
                <w:szCs w:val="22"/>
              </w:rPr>
            </w:pPr>
            <w:r w:rsidRPr="0081332A">
              <w:rPr>
                <w:sz w:val="22"/>
                <w:szCs w:val="22"/>
              </w:rPr>
              <w:t>The program has an overall cap of $3 million for each state fiscal year and is subject to appropriation</w:t>
            </w:r>
            <w:r w:rsidR="00294F22">
              <w:rPr>
                <w:sz w:val="22"/>
                <w:szCs w:val="22"/>
              </w:rPr>
              <w:t>.</w:t>
            </w:r>
          </w:p>
        </w:tc>
      </w:tr>
      <w:tr w:rsidR="00E22F42" w:rsidTr="00961681">
        <w:tblPrEx>
          <w:tblBorders>
            <w:left w:val="single" w:sz="4" w:space="0" w:color="auto"/>
            <w:right w:val="single" w:sz="4" w:space="0" w:color="auto"/>
          </w:tblBorders>
          <w:tblLook w:val="0000"/>
        </w:tblPrEx>
        <w:trPr>
          <w:trHeight w:val="446"/>
          <w:jc w:val="center"/>
        </w:trPr>
        <w:tc>
          <w:tcPr>
            <w:tcW w:w="10908" w:type="dxa"/>
            <w:tcBorders>
              <w:top w:val="single" w:sz="4" w:space="0" w:color="auto"/>
              <w:left w:val="nil"/>
              <w:bottom w:val="single" w:sz="4" w:space="0" w:color="auto"/>
              <w:right w:val="nil"/>
            </w:tcBorders>
            <w:shd w:val="clear" w:color="auto" w:fill="auto"/>
          </w:tcPr>
          <w:p w:rsidR="00E22F42" w:rsidRPr="0081332A" w:rsidRDefault="0081332A" w:rsidP="00B53BAB">
            <w:pPr>
              <w:spacing w:before="120" w:after="120"/>
              <w:ind w:left="396"/>
              <w:rPr>
                <w:sz w:val="22"/>
                <w:szCs w:val="22"/>
              </w:rPr>
            </w:pPr>
            <w:r w:rsidRPr="0081332A">
              <w:rPr>
                <w:sz w:val="22"/>
                <w:szCs w:val="22"/>
              </w:rPr>
              <w:t xml:space="preserve">The </w:t>
            </w:r>
            <w:r w:rsidR="00BB5B08">
              <w:rPr>
                <w:sz w:val="22"/>
                <w:szCs w:val="22"/>
              </w:rPr>
              <w:t xml:space="preserve">individual </w:t>
            </w:r>
            <w:r w:rsidRPr="0081332A">
              <w:rPr>
                <w:sz w:val="22"/>
                <w:szCs w:val="22"/>
              </w:rPr>
              <w:t xml:space="preserve">grant </w:t>
            </w:r>
            <w:r w:rsidR="00BB5B08">
              <w:rPr>
                <w:sz w:val="22"/>
                <w:szCs w:val="22"/>
              </w:rPr>
              <w:t xml:space="preserve">amount </w:t>
            </w:r>
            <w:r w:rsidRPr="0081332A">
              <w:rPr>
                <w:sz w:val="22"/>
                <w:szCs w:val="22"/>
              </w:rPr>
              <w:t>shall not exceed the lesser of:</w:t>
            </w:r>
          </w:p>
          <w:p w:rsidR="0081332A" w:rsidRPr="0081332A" w:rsidRDefault="0081332A" w:rsidP="00B53BAB">
            <w:pPr>
              <w:numPr>
                <w:ilvl w:val="1"/>
                <w:numId w:val="3"/>
              </w:numPr>
              <w:spacing w:before="120" w:after="120"/>
              <w:rPr>
                <w:sz w:val="22"/>
                <w:szCs w:val="22"/>
              </w:rPr>
            </w:pPr>
            <w:r w:rsidRPr="0081332A">
              <w:rPr>
                <w:sz w:val="22"/>
                <w:szCs w:val="22"/>
              </w:rPr>
              <w:t>The amount of estimated total sales taxes to be received by the state generated by sleeping rooms paid by guests of hotels and motels reasonably believed to be occupied due to the convention,</w:t>
            </w:r>
          </w:p>
          <w:p w:rsidR="0081332A" w:rsidRPr="0081332A" w:rsidRDefault="0081332A" w:rsidP="00B53BAB">
            <w:pPr>
              <w:numPr>
                <w:ilvl w:val="1"/>
                <w:numId w:val="3"/>
              </w:numPr>
              <w:spacing w:before="120" w:after="120"/>
              <w:rPr>
                <w:sz w:val="22"/>
                <w:szCs w:val="22"/>
              </w:rPr>
            </w:pPr>
            <w:r w:rsidRPr="0081332A">
              <w:rPr>
                <w:sz w:val="22"/>
                <w:szCs w:val="22"/>
              </w:rPr>
              <w:t>More than 50% of the cost of hosting the major convention event,</w:t>
            </w:r>
          </w:p>
          <w:p w:rsidR="0081332A" w:rsidRPr="0081332A" w:rsidRDefault="0081332A" w:rsidP="00B53BAB">
            <w:pPr>
              <w:numPr>
                <w:ilvl w:val="1"/>
                <w:numId w:val="3"/>
              </w:numPr>
              <w:spacing w:before="120" w:after="120"/>
              <w:rPr>
                <w:sz w:val="22"/>
                <w:szCs w:val="22"/>
              </w:rPr>
            </w:pPr>
            <w:r w:rsidRPr="0081332A">
              <w:rPr>
                <w:sz w:val="22"/>
                <w:szCs w:val="22"/>
              </w:rPr>
              <w:t>The positive net fiscal impact to the state general revenue, or</w:t>
            </w:r>
          </w:p>
          <w:p w:rsidR="0081332A" w:rsidRPr="0081332A" w:rsidRDefault="0081332A" w:rsidP="00B53BAB">
            <w:pPr>
              <w:numPr>
                <w:ilvl w:val="1"/>
                <w:numId w:val="3"/>
              </w:numPr>
              <w:spacing w:before="120" w:after="120"/>
              <w:rPr>
                <w:sz w:val="22"/>
                <w:szCs w:val="22"/>
              </w:rPr>
            </w:pPr>
            <w:r w:rsidRPr="0081332A">
              <w:rPr>
                <w:sz w:val="22"/>
                <w:szCs w:val="22"/>
              </w:rPr>
              <w:t>$1 million.</w:t>
            </w:r>
          </w:p>
        </w:tc>
      </w:tr>
      <w:tr w:rsidR="00E22F42" w:rsidTr="00961681">
        <w:tblPrEx>
          <w:tblBorders>
            <w:left w:val="single" w:sz="4" w:space="0" w:color="auto"/>
            <w:right w:val="single" w:sz="4" w:space="0" w:color="auto"/>
          </w:tblBorders>
          <w:tblLook w:val="0000"/>
        </w:tblPrEx>
        <w:trPr>
          <w:trHeight w:val="386"/>
          <w:jc w:val="center"/>
        </w:trPr>
        <w:tc>
          <w:tcPr>
            <w:tcW w:w="10908" w:type="dxa"/>
            <w:tcBorders>
              <w:top w:val="single" w:sz="4" w:space="0" w:color="auto"/>
              <w:left w:val="nil"/>
              <w:bottom w:val="single" w:sz="4" w:space="0" w:color="auto"/>
              <w:right w:val="nil"/>
            </w:tcBorders>
            <w:shd w:val="clear" w:color="auto" w:fill="B8CCE4"/>
            <w:vAlign w:val="center"/>
          </w:tcPr>
          <w:p w:rsidR="00E22F42" w:rsidRPr="0081332A" w:rsidRDefault="00E22F42" w:rsidP="00B53BAB">
            <w:pPr>
              <w:spacing w:before="120" w:after="120"/>
              <w:ind w:left="396" w:hanging="360"/>
              <w:rPr>
                <w:sz w:val="22"/>
                <w:szCs w:val="22"/>
              </w:rPr>
            </w:pPr>
            <w:r w:rsidRPr="0081332A">
              <w:rPr>
                <w:b/>
                <w:sz w:val="22"/>
                <w:szCs w:val="22"/>
              </w:rPr>
              <w:t>ELIGIBLE MAJOR CONVENTION EVENT COSTS:</w:t>
            </w:r>
          </w:p>
        </w:tc>
      </w:tr>
      <w:tr w:rsidR="00E22F42" w:rsidTr="00961681">
        <w:tblPrEx>
          <w:tblBorders>
            <w:left w:val="single" w:sz="4" w:space="0" w:color="auto"/>
            <w:right w:val="single" w:sz="4" w:space="0" w:color="auto"/>
          </w:tblBorders>
          <w:tblLook w:val="0000"/>
        </w:tblPrEx>
        <w:trPr>
          <w:trHeight w:val="446"/>
          <w:jc w:val="center"/>
        </w:trPr>
        <w:tc>
          <w:tcPr>
            <w:tcW w:w="10908" w:type="dxa"/>
            <w:tcBorders>
              <w:top w:val="single" w:sz="4" w:space="0" w:color="auto"/>
              <w:left w:val="nil"/>
              <w:bottom w:val="single" w:sz="4" w:space="0" w:color="auto"/>
              <w:right w:val="nil"/>
            </w:tcBorders>
            <w:shd w:val="clear" w:color="auto" w:fill="auto"/>
            <w:vAlign w:val="center"/>
          </w:tcPr>
          <w:p w:rsidR="00E22F42" w:rsidRPr="0081332A" w:rsidRDefault="0081332A" w:rsidP="00B53BAB">
            <w:pPr>
              <w:spacing w:before="120" w:after="120"/>
              <w:ind w:left="396"/>
              <w:rPr>
                <w:b/>
                <w:sz w:val="22"/>
                <w:szCs w:val="22"/>
              </w:rPr>
            </w:pPr>
            <w:r w:rsidRPr="0081332A">
              <w:rPr>
                <w:sz w:val="22"/>
                <w:szCs w:val="22"/>
              </w:rPr>
              <w:t>All operational costs of the venue are eligible costs. This includes, but is not limited to, costs related to the following: security, venue utilities, cleaning, production of the event, installation and dismantling, facility rental charges, personnel, construction to prepare the venue, and other temporary facility construction.</w:t>
            </w:r>
          </w:p>
        </w:tc>
      </w:tr>
      <w:tr w:rsidR="00E22F42" w:rsidTr="00961681">
        <w:tblPrEx>
          <w:tblBorders>
            <w:left w:val="single" w:sz="4" w:space="0" w:color="auto"/>
            <w:right w:val="single" w:sz="4" w:space="0" w:color="auto"/>
          </w:tblBorders>
          <w:tblLook w:val="0000"/>
        </w:tblPrEx>
        <w:trPr>
          <w:trHeight w:val="446"/>
          <w:jc w:val="center"/>
        </w:trPr>
        <w:tc>
          <w:tcPr>
            <w:tcW w:w="10908" w:type="dxa"/>
            <w:tcBorders>
              <w:top w:val="single" w:sz="4" w:space="0" w:color="auto"/>
              <w:left w:val="nil"/>
              <w:bottom w:val="single" w:sz="4" w:space="0" w:color="auto"/>
              <w:right w:val="nil"/>
            </w:tcBorders>
            <w:shd w:val="clear" w:color="auto" w:fill="auto"/>
            <w:vAlign w:val="center"/>
          </w:tcPr>
          <w:p w:rsidR="00E22F42" w:rsidRPr="0081332A" w:rsidRDefault="0081332A" w:rsidP="00B53BAB">
            <w:pPr>
              <w:spacing w:before="120" w:after="120"/>
              <w:ind w:left="396"/>
              <w:rPr>
                <w:b/>
                <w:sz w:val="22"/>
                <w:szCs w:val="22"/>
              </w:rPr>
            </w:pPr>
            <w:r w:rsidRPr="0081332A">
              <w:rPr>
                <w:sz w:val="22"/>
                <w:szCs w:val="22"/>
              </w:rPr>
              <w:t>Administrative</w:t>
            </w:r>
            <w:r w:rsidRPr="0081332A">
              <w:rPr>
                <w:b/>
                <w:sz w:val="22"/>
                <w:szCs w:val="22"/>
              </w:rPr>
              <w:t xml:space="preserve"> </w:t>
            </w:r>
            <w:r w:rsidRPr="0081332A">
              <w:rPr>
                <w:sz w:val="22"/>
                <w:szCs w:val="22"/>
              </w:rPr>
              <w:t xml:space="preserve">costs </w:t>
            </w:r>
            <w:r w:rsidR="00F46B2D">
              <w:rPr>
                <w:sz w:val="22"/>
                <w:szCs w:val="22"/>
              </w:rPr>
              <w:t xml:space="preserve">and non-venue costs </w:t>
            </w:r>
            <w:r w:rsidRPr="0081332A">
              <w:rPr>
                <w:sz w:val="22"/>
                <w:szCs w:val="22"/>
              </w:rPr>
              <w:t xml:space="preserve">are not generally considered eligible costs. This includes, but is not limited to, speaker fees, food and beverage charges, registration fees, </w:t>
            </w:r>
            <w:r w:rsidR="00BB5B08">
              <w:rPr>
                <w:sz w:val="22"/>
                <w:szCs w:val="22"/>
              </w:rPr>
              <w:t xml:space="preserve">and </w:t>
            </w:r>
            <w:r w:rsidRPr="0081332A">
              <w:rPr>
                <w:sz w:val="22"/>
                <w:szCs w:val="22"/>
              </w:rPr>
              <w:t>entertainment</w:t>
            </w:r>
            <w:r w:rsidR="00BB5B08">
              <w:rPr>
                <w:sz w:val="22"/>
                <w:szCs w:val="22"/>
              </w:rPr>
              <w:t>.</w:t>
            </w:r>
          </w:p>
        </w:tc>
      </w:tr>
      <w:tr w:rsidR="00E22F42" w:rsidTr="00961681">
        <w:tblPrEx>
          <w:tblBorders>
            <w:left w:val="single" w:sz="4" w:space="0" w:color="auto"/>
            <w:right w:val="single" w:sz="4" w:space="0" w:color="auto"/>
          </w:tblBorders>
          <w:tblLook w:val="0000"/>
        </w:tblPrEx>
        <w:trPr>
          <w:trHeight w:val="350"/>
          <w:jc w:val="center"/>
        </w:trPr>
        <w:tc>
          <w:tcPr>
            <w:tcW w:w="10908" w:type="dxa"/>
            <w:tcBorders>
              <w:top w:val="single" w:sz="4" w:space="0" w:color="auto"/>
              <w:left w:val="nil"/>
              <w:bottom w:val="single" w:sz="4" w:space="0" w:color="auto"/>
              <w:right w:val="nil"/>
            </w:tcBorders>
            <w:shd w:val="clear" w:color="auto" w:fill="B8CCE4"/>
            <w:vAlign w:val="center"/>
          </w:tcPr>
          <w:p w:rsidR="00E22F42" w:rsidRPr="0081332A" w:rsidRDefault="00F215FD" w:rsidP="00B53BAB">
            <w:pPr>
              <w:spacing w:before="120" w:after="120"/>
              <w:ind w:left="396" w:hanging="360"/>
              <w:rPr>
                <w:b/>
                <w:sz w:val="22"/>
                <w:szCs w:val="22"/>
              </w:rPr>
            </w:pPr>
            <w:r>
              <w:rPr>
                <w:b/>
                <w:sz w:val="22"/>
                <w:szCs w:val="22"/>
              </w:rPr>
              <w:t>APPLICATION</w:t>
            </w:r>
            <w:r w:rsidR="00E22F42" w:rsidRPr="0081332A">
              <w:rPr>
                <w:b/>
                <w:sz w:val="22"/>
                <w:szCs w:val="22"/>
              </w:rPr>
              <w:t>:</w:t>
            </w:r>
          </w:p>
        </w:tc>
      </w:tr>
      <w:tr w:rsidR="00E22F42" w:rsidTr="00961681">
        <w:tblPrEx>
          <w:tblBorders>
            <w:left w:val="single" w:sz="4" w:space="0" w:color="auto"/>
            <w:right w:val="single" w:sz="4" w:space="0" w:color="auto"/>
          </w:tblBorders>
          <w:tblLook w:val="0000"/>
        </w:tblPrEx>
        <w:trPr>
          <w:trHeight w:val="5040"/>
          <w:jc w:val="center"/>
        </w:trPr>
        <w:tc>
          <w:tcPr>
            <w:tcW w:w="10908" w:type="dxa"/>
            <w:tcBorders>
              <w:top w:val="single" w:sz="4" w:space="0" w:color="auto"/>
              <w:left w:val="nil"/>
              <w:bottom w:val="single" w:sz="2" w:space="0" w:color="FFFFFF" w:themeColor="background1"/>
              <w:right w:val="nil"/>
            </w:tcBorders>
            <w:shd w:val="clear" w:color="auto" w:fill="auto"/>
            <w:vAlign w:val="center"/>
          </w:tcPr>
          <w:p w:rsidR="00E22F42" w:rsidRPr="0081332A" w:rsidRDefault="0081332A" w:rsidP="00B53BAB">
            <w:pPr>
              <w:spacing w:before="120" w:after="120"/>
              <w:ind w:left="396"/>
              <w:rPr>
                <w:b/>
                <w:sz w:val="22"/>
                <w:szCs w:val="22"/>
              </w:rPr>
            </w:pPr>
            <w:r w:rsidRPr="0081332A">
              <w:rPr>
                <w:sz w:val="22"/>
                <w:szCs w:val="22"/>
              </w:rPr>
              <w:t xml:space="preserve">The </w:t>
            </w:r>
            <w:r w:rsidR="00541D1D">
              <w:rPr>
                <w:sz w:val="22"/>
                <w:szCs w:val="22"/>
              </w:rPr>
              <w:t xml:space="preserve">commission/DMO </w:t>
            </w:r>
            <w:r w:rsidRPr="0081332A">
              <w:rPr>
                <w:sz w:val="22"/>
                <w:szCs w:val="22"/>
              </w:rPr>
              <w:t xml:space="preserve">must submit a written major convention plan </w:t>
            </w:r>
            <w:r w:rsidR="0024038F">
              <w:rPr>
                <w:sz w:val="22"/>
                <w:szCs w:val="22"/>
              </w:rPr>
              <w:t xml:space="preserve">(Meet in Missouri </w:t>
            </w:r>
            <w:r w:rsidR="00FC0194">
              <w:rPr>
                <w:sz w:val="22"/>
                <w:szCs w:val="22"/>
              </w:rPr>
              <w:t>A</w:t>
            </w:r>
            <w:r w:rsidR="0024038F">
              <w:rPr>
                <w:sz w:val="22"/>
                <w:szCs w:val="22"/>
              </w:rPr>
              <w:t xml:space="preserve">pplication) </w:t>
            </w:r>
            <w:r w:rsidRPr="0081332A">
              <w:rPr>
                <w:sz w:val="22"/>
                <w:szCs w:val="22"/>
              </w:rPr>
              <w:t>to the Missouri DED. The major convention plan shall include</w:t>
            </w:r>
            <w:r w:rsidR="00E0129A">
              <w:rPr>
                <w:sz w:val="22"/>
                <w:szCs w:val="22"/>
              </w:rPr>
              <w:t xml:space="preserve">, but </w:t>
            </w:r>
            <w:r w:rsidR="00D318C8">
              <w:rPr>
                <w:sz w:val="22"/>
                <w:szCs w:val="22"/>
              </w:rPr>
              <w:t xml:space="preserve">is </w:t>
            </w:r>
            <w:r w:rsidR="00E0129A">
              <w:rPr>
                <w:sz w:val="22"/>
                <w:szCs w:val="22"/>
              </w:rPr>
              <w:t>not limited to</w:t>
            </w:r>
            <w:r w:rsidRPr="0081332A">
              <w:rPr>
                <w:sz w:val="22"/>
                <w:szCs w:val="22"/>
              </w:rPr>
              <w:t>:</w:t>
            </w:r>
          </w:p>
          <w:p w:rsidR="0081332A" w:rsidRPr="0081332A" w:rsidRDefault="0081332A" w:rsidP="00B53BAB">
            <w:pPr>
              <w:numPr>
                <w:ilvl w:val="1"/>
                <w:numId w:val="5"/>
              </w:numPr>
              <w:spacing w:before="120" w:after="120"/>
              <w:rPr>
                <w:b/>
                <w:sz w:val="22"/>
                <w:szCs w:val="22"/>
              </w:rPr>
            </w:pPr>
            <w:r w:rsidRPr="0081332A">
              <w:rPr>
                <w:sz w:val="22"/>
                <w:szCs w:val="22"/>
              </w:rPr>
              <w:t>The start and end dates of the major convention event.</w:t>
            </w:r>
          </w:p>
          <w:p w:rsidR="0081332A" w:rsidRPr="0081332A" w:rsidRDefault="0081332A" w:rsidP="00B53BAB">
            <w:pPr>
              <w:numPr>
                <w:ilvl w:val="1"/>
                <w:numId w:val="5"/>
              </w:numPr>
              <w:spacing w:before="120" w:after="120"/>
              <w:rPr>
                <w:b/>
                <w:sz w:val="22"/>
                <w:szCs w:val="22"/>
              </w:rPr>
            </w:pPr>
            <w:r w:rsidRPr="0081332A">
              <w:rPr>
                <w:sz w:val="22"/>
                <w:szCs w:val="22"/>
              </w:rPr>
              <w:t>An identification of the organization planning the event.</w:t>
            </w:r>
          </w:p>
          <w:p w:rsidR="0081332A" w:rsidRPr="0081332A" w:rsidRDefault="0081332A" w:rsidP="00B53BAB">
            <w:pPr>
              <w:numPr>
                <w:ilvl w:val="1"/>
                <w:numId w:val="5"/>
              </w:numPr>
              <w:spacing w:before="120" w:after="120"/>
              <w:rPr>
                <w:b/>
                <w:sz w:val="22"/>
                <w:szCs w:val="22"/>
              </w:rPr>
            </w:pPr>
            <w:r w:rsidRPr="0081332A">
              <w:rPr>
                <w:sz w:val="22"/>
                <w:szCs w:val="22"/>
              </w:rPr>
              <w:t>The location of the event.</w:t>
            </w:r>
          </w:p>
          <w:p w:rsidR="0081332A" w:rsidRPr="00AF5581" w:rsidRDefault="0081332A" w:rsidP="00B53BAB">
            <w:pPr>
              <w:numPr>
                <w:ilvl w:val="1"/>
                <w:numId w:val="5"/>
              </w:numPr>
              <w:spacing w:before="120" w:after="120"/>
              <w:rPr>
                <w:b/>
                <w:sz w:val="22"/>
                <w:szCs w:val="22"/>
              </w:rPr>
            </w:pPr>
            <w:r w:rsidRPr="0081332A">
              <w:rPr>
                <w:sz w:val="22"/>
                <w:szCs w:val="22"/>
              </w:rPr>
              <w:t>Projected total and out-of-state attendance, based on previously held or similar events.</w:t>
            </w:r>
          </w:p>
          <w:p w:rsidR="00AF5581" w:rsidRPr="0081332A" w:rsidRDefault="00B77BDB" w:rsidP="00A07629">
            <w:pPr>
              <w:numPr>
                <w:ilvl w:val="2"/>
                <w:numId w:val="5"/>
              </w:numPr>
              <w:spacing w:before="120" w:after="120"/>
              <w:ind w:left="1476"/>
              <w:rPr>
                <w:b/>
                <w:sz w:val="22"/>
                <w:szCs w:val="22"/>
              </w:rPr>
            </w:pPr>
            <w:r>
              <w:rPr>
                <w:sz w:val="22"/>
                <w:szCs w:val="22"/>
              </w:rPr>
              <w:t>Estimated</w:t>
            </w:r>
            <w:r w:rsidR="00AF5581">
              <w:rPr>
                <w:sz w:val="22"/>
                <w:szCs w:val="22"/>
              </w:rPr>
              <w:t xml:space="preserve"> total attendees and estimated out-of-state attendees. </w:t>
            </w:r>
          </w:p>
          <w:p w:rsidR="0081332A" w:rsidRPr="00AF5581" w:rsidRDefault="0081332A" w:rsidP="00B53BAB">
            <w:pPr>
              <w:numPr>
                <w:ilvl w:val="1"/>
                <w:numId w:val="5"/>
              </w:numPr>
              <w:spacing w:before="120" w:after="120"/>
              <w:rPr>
                <w:b/>
                <w:sz w:val="22"/>
                <w:szCs w:val="22"/>
              </w:rPr>
            </w:pPr>
            <w:r w:rsidRPr="0081332A">
              <w:rPr>
                <w:sz w:val="22"/>
                <w:szCs w:val="22"/>
              </w:rPr>
              <w:t>Projected hotel room nights, based on previously held or similar events.</w:t>
            </w:r>
          </w:p>
          <w:p w:rsidR="00AF5581" w:rsidRPr="0081332A" w:rsidRDefault="00B77BDB" w:rsidP="00C85B43">
            <w:pPr>
              <w:numPr>
                <w:ilvl w:val="2"/>
                <w:numId w:val="5"/>
              </w:numPr>
              <w:spacing w:before="120" w:after="120"/>
              <w:ind w:left="1476"/>
              <w:rPr>
                <w:b/>
                <w:sz w:val="22"/>
                <w:szCs w:val="22"/>
              </w:rPr>
            </w:pPr>
            <w:r>
              <w:rPr>
                <w:sz w:val="22"/>
                <w:szCs w:val="22"/>
              </w:rPr>
              <w:t xml:space="preserve">Estimated </w:t>
            </w:r>
            <w:r w:rsidR="00AF5581">
              <w:rPr>
                <w:sz w:val="22"/>
                <w:szCs w:val="22"/>
              </w:rPr>
              <w:t>total hotel room nights</w:t>
            </w:r>
            <w:r>
              <w:rPr>
                <w:sz w:val="22"/>
                <w:szCs w:val="22"/>
              </w:rPr>
              <w:t xml:space="preserve"> and contracted hotel room nights</w:t>
            </w:r>
            <w:r w:rsidR="00AF5581">
              <w:rPr>
                <w:sz w:val="22"/>
                <w:szCs w:val="22"/>
              </w:rPr>
              <w:t>.</w:t>
            </w:r>
          </w:p>
          <w:p w:rsidR="0081332A" w:rsidRPr="0081332A" w:rsidRDefault="0081332A" w:rsidP="00B53BAB">
            <w:pPr>
              <w:numPr>
                <w:ilvl w:val="1"/>
                <w:numId w:val="5"/>
              </w:numPr>
              <w:spacing w:before="120" w:after="120"/>
              <w:rPr>
                <w:b/>
                <w:sz w:val="22"/>
                <w:szCs w:val="22"/>
              </w:rPr>
            </w:pPr>
            <w:r w:rsidRPr="0081332A">
              <w:rPr>
                <w:sz w:val="22"/>
                <w:szCs w:val="22"/>
              </w:rPr>
              <w:t>Projected costs and revenues anticipated to be received by the eligible commission</w:t>
            </w:r>
            <w:r w:rsidR="00541D1D">
              <w:rPr>
                <w:sz w:val="22"/>
                <w:szCs w:val="22"/>
              </w:rPr>
              <w:t>/DMO</w:t>
            </w:r>
            <w:r w:rsidRPr="0081332A">
              <w:rPr>
                <w:sz w:val="22"/>
                <w:szCs w:val="22"/>
              </w:rPr>
              <w:t xml:space="preserve"> in connection with the event.</w:t>
            </w:r>
          </w:p>
          <w:p w:rsidR="0081332A" w:rsidRPr="00B53BAB" w:rsidRDefault="0081332A" w:rsidP="00B53BAB">
            <w:pPr>
              <w:numPr>
                <w:ilvl w:val="1"/>
                <w:numId w:val="5"/>
              </w:numPr>
              <w:spacing w:before="120" w:after="120"/>
              <w:rPr>
                <w:b/>
                <w:sz w:val="22"/>
                <w:szCs w:val="22"/>
              </w:rPr>
            </w:pPr>
            <w:r w:rsidRPr="0081332A">
              <w:rPr>
                <w:sz w:val="22"/>
                <w:szCs w:val="22"/>
              </w:rPr>
              <w:t>The eligible major convention event costs.</w:t>
            </w:r>
          </w:p>
          <w:p w:rsidR="00BF6E5C" w:rsidRPr="00BF6E5C" w:rsidRDefault="00BF6E5C" w:rsidP="00961681">
            <w:pPr>
              <w:spacing w:before="120" w:after="120"/>
              <w:ind w:left="3276"/>
              <w:rPr>
                <w:sz w:val="22"/>
                <w:szCs w:val="22"/>
              </w:rPr>
            </w:pPr>
          </w:p>
        </w:tc>
      </w:tr>
      <w:tr w:rsidR="00961681" w:rsidTr="00961681">
        <w:tblPrEx>
          <w:tblBorders>
            <w:left w:val="single" w:sz="4" w:space="0" w:color="auto"/>
            <w:right w:val="single" w:sz="4" w:space="0" w:color="auto"/>
          </w:tblBorders>
          <w:tblLook w:val="0000"/>
        </w:tblPrEx>
        <w:trPr>
          <w:trHeight w:val="9449"/>
          <w:jc w:val="center"/>
        </w:trPr>
        <w:tc>
          <w:tcPr>
            <w:tcW w:w="10908" w:type="dxa"/>
            <w:tcBorders>
              <w:top w:val="single" w:sz="2" w:space="0" w:color="FFFFFF" w:themeColor="background1"/>
              <w:left w:val="nil"/>
              <w:bottom w:val="single" w:sz="4" w:space="0" w:color="auto"/>
              <w:right w:val="nil"/>
            </w:tcBorders>
            <w:shd w:val="clear" w:color="auto" w:fill="auto"/>
            <w:vAlign w:val="center"/>
          </w:tcPr>
          <w:p w:rsidR="00961681" w:rsidRPr="0081332A" w:rsidRDefault="00961681" w:rsidP="00B53BAB">
            <w:pPr>
              <w:numPr>
                <w:ilvl w:val="1"/>
                <w:numId w:val="5"/>
              </w:numPr>
              <w:spacing w:before="120" w:after="120"/>
              <w:rPr>
                <w:b/>
                <w:sz w:val="22"/>
                <w:szCs w:val="22"/>
              </w:rPr>
            </w:pPr>
            <w:r w:rsidRPr="0081332A">
              <w:rPr>
                <w:sz w:val="22"/>
                <w:szCs w:val="22"/>
              </w:rPr>
              <w:lastRenderedPageBreak/>
              <w:t>Evidence of the following:</w:t>
            </w:r>
          </w:p>
          <w:p w:rsidR="00961681" w:rsidRPr="0081332A" w:rsidRDefault="00961681" w:rsidP="00C85B43">
            <w:pPr>
              <w:numPr>
                <w:ilvl w:val="2"/>
                <w:numId w:val="5"/>
              </w:numPr>
              <w:spacing w:before="120" w:after="120"/>
              <w:ind w:left="1476"/>
              <w:rPr>
                <w:b/>
                <w:sz w:val="22"/>
                <w:szCs w:val="22"/>
              </w:rPr>
            </w:pPr>
            <w:r w:rsidRPr="0081332A">
              <w:rPr>
                <w:sz w:val="22"/>
                <w:szCs w:val="22"/>
              </w:rPr>
              <w:t>The applicant is an eligible commission</w:t>
            </w:r>
            <w:r>
              <w:rPr>
                <w:sz w:val="22"/>
                <w:szCs w:val="22"/>
              </w:rPr>
              <w:t>/DMO</w:t>
            </w:r>
            <w:r w:rsidRPr="0081332A">
              <w:rPr>
                <w:sz w:val="22"/>
                <w:szCs w:val="22"/>
              </w:rPr>
              <w:t>.</w:t>
            </w:r>
          </w:p>
          <w:p w:rsidR="00961681" w:rsidRPr="0081332A" w:rsidRDefault="00961681" w:rsidP="00C85B43">
            <w:pPr>
              <w:numPr>
                <w:ilvl w:val="2"/>
                <w:numId w:val="5"/>
              </w:numPr>
              <w:spacing w:before="120" w:after="120"/>
              <w:ind w:left="1476"/>
              <w:rPr>
                <w:b/>
                <w:sz w:val="22"/>
                <w:szCs w:val="22"/>
              </w:rPr>
            </w:pPr>
            <w:r w:rsidRPr="0081332A">
              <w:rPr>
                <w:sz w:val="22"/>
                <w:szCs w:val="22"/>
              </w:rPr>
              <w:t>The projected start and end dates of the planned major convention event and the requested date of disbursement of the grant are no later than five years from the date of the application.</w:t>
            </w:r>
          </w:p>
          <w:p w:rsidR="00961681" w:rsidRPr="00AF5581" w:rsidRDefault="00961681" w:rsidP="00C85B43">
            <w:pPr>
              <w:numPr>
                <w:ilvl w:val="2"/>
                <w:numId w:val="5"/>
              </w:numPr>
              <w:spacing w:before="120" w:after="120"/>
              <w:ind w:left="1476"/>
              <w:rPr>
                <w:b/>
                <w:sz w:val="22"/>
                <w:szCs w:val="22"/>
              </w:rPr>
            </w:pPr>
            <w:r w:rsidRPr="0081332A">
              <w:rPr>
                <w:sz w:val="22"/>
                <w:szCs w:val="22"/>
              </w:rPr>
              <w:t>The actual number of contracted advance hotel reservations or projected out-of-state attendance numbers and actual hotel room usage from comparable past events.</w:t>
            </w:r>
          </w:p>
          <w:p w:rsidR="00961681" w:rsidRPr="0081332A" w:rsidRDefault="00961681" w:rsidP="00C85B43">
            <w:pPr>
              <w:numPr>
                <w:ilvl w:val="2"/>
                <w:numId w:val="5"/>
              </w:numPr>
              <w:spacing w:before="120" w:after="120"/>
              <w:ind w:left="1476"/>
              <w:rPr>
                <w:b/>
                <w:sz w:val="22"/>
                <w:szCs w:val="22"/>
              </w:rPr>
            </w:pPr>
            <w:r w:rsidRPr="0081332A">
              <w:rPr>
                <w:sz w:val="22"/>
                <w:szCs w:val="22"/>
              </w:rPr>
              <w:t xml:space="preserve">A request for proposal or similar documentation demonstrates the </w:t>
            </w:r>
            <w:r>
              <w:rPr>
                <w:sz w:val="22"/>
                <w:szCs w:val="22"/>
              </w:rPr>
              <w:t>commission/DMO</w:t>
            </w:r>
            <w:r w:rsidRPr="0081332A">
              <w:rPr>
                <w:sz w:val="22"/>
                <w:szCs w:val="22"/>
              </w:rPr>
              <w:t xml:space="preserve"> is competing for the event against non-Missouri cities.</w:t>
            </w:r>
          </w:p>
          <w:p w:rsidR="00961681" w:rsidRPr="00BB5B08" w:rsidRDefault="00961681" w:rsidP="00C85B43">
            <w:pPr>
              <w:numPr>
                <w:ilvl w:val="2"/>
                <w:numId w:val="5"/>
              </w:numPr>
              <w:spacing w:before="120" w:after="120"/>
              <w:ind w:left="1476"/>
              <w:rPr>
                <w:b/>
                <w:sz w:val="22"/>
                <w:szCs w:val="22"/>
              </w:rPr>
            </w:pPr>
            <w:r w:rsidRPr="0081332A">
              <w:rPr>
                <w:sz w:val="22"/>
                <w:szCs w:val="22"/>
              </w:rPr>
              <w:t>Without the grant, the major convention would not be reasonably anticipated to occur in Missouri.</w:t>
            </w:r>
          </w:p>
          <w:p w:rsidR="00961681" w:rsidRPr="0081332A" w:rsidRDefault="00961681" w:rsidP="00C85B43">
            <w:pPr>
              <w:numPr>
                <w:ilvl w:val="2"/>
                <w:numId w:val="5"/>
              </w:numPr>
              <w:spacing w:before="120" w:after="120"/>
              <w:ind w:left="1476"/>
              <w:rPr>
                <w:b/>
                <w:sz w:val="22"/>
                <w:szCs w:val="22"/>
              </w:rPr>
            </w:pPr>
            <w:r w:rsidRPr="0081332A">
              <w:rPr>
                <w:sz w:val="22"/>
                <w:szCs w:val="22"/>
              </w:rPr>
              <w:t>The positive net fiscal impact to general revenue of the state through any and all taxes attributable to the major convention event exceeds the amount of the grant.</w:t>
            </w:r>
          </w:p>
          <w:p w:rsidR="00961681" w:rsidRPr="00BF6E5C" w:rsidRDefault="00961681" w:rsidP="00C85B43">
            <w:pPr>
              <w:numPr>
                <w:ilvl w:val="3"/>
                <w:numId w:val="5"/>
              </w:numPr>
              <w:spacing w:before="120" w:after="120"/>
              <w:ind w:left="1836" w:hanging="180"/>
              <w:rPr>
                <w:b/>
                <w:sz w:val="22"/>
                <w:szCs w:val="22"/>
              </w:rPr>
            </w:pPr>
            <w:r>
              <w:rPr>
                <w:sz w:val="22"/>
                <w:szCs w:val="22"/>
              </w:rPr>
              <w:t>Calculating</w:t>
            </w:r>
            <w:r w:rsidRPr="0081332A">
              <w:rPr>
                <w:sz w:val="22"/>
                <w:szCs w:val="22"/>
              </w:rPr>
              <w:t xml:space="preserve"> the positive net fiscal impact to the general revenue of the state </w:t>
            </w:r>
            <w:r>
              <w:rPr>
                <w:sz w:val="22"/>
                <w:szCs w:val="22"/>
              </w:rPr>
              <w:t>will be completed with</w:t>
            </w:r>
            <w:r w:rsidRPr="0081332A">
              <w:rPr>
                <w:sz w:val="22"/>
                <w:szCs w:val="22"/>
              </w:rPr>
              <w:t xml:space="preserve"> the DMAI Event Impact Calculator.</w:t>
            </w:r>
          </w:p>
          <w:p w:rsidR="00961681" w:rsidRPr="00BF6E5C" w:rsidRDefault="00961681" w:rsidP="00C85B43">
            <w:pPr>
              <w:numPr>
                <w:ilvl w:val="4"/>
                <w:numId w:val="5"/>
              </w:numPr>
              <w:spacing w:before="120" w:after="120"/>
              <w:ind w:left="2376" w:hanging="270"/>
              <w:rPr>
                <w:b/>
                <w:sz w:val="22"/>
                <w:szCs w:val="22"/>
              </w:rPr>
            </w:pPr>
            <w:r>
              <w:rPr>
                <w:sz w:val="22"/>
                <w:szCs w:val="22"/>
              </w:rPr>
              <w:t xml:space="preserve">The State of Missouri will subscribe to all three modules of DMAI’s Event Impact Calculator for use by a commission/DMO that does not </w:t>
            </w:r>
            <w:r w:rsidR="00A531E2">
              <w:rPr>
                <w:sz w:val="22"/>
                <w:szCs w:val="22"/>
              </w:rPr>
              <w:t xml:space="preserve">subscribe to </w:t>
            </w:r>
            <w:r>
              <w:rPr>
                <w:sz w:val="22"/>
                <w:szCs w:val="22"/>
              </w:rPr>
              <w:t xml:space="preserve">the calculator. A </w:t>
            </w:r>
            <w:r w:rsidR="00D3657E">
              <w:rPr>
                <w:sz w:val="22"/>
                <w:szCs w:val="22"/>
              </w:rPr>
              <w:t>commission/DMO that subscribes</w:t>
            </w:r>
            <w:r w:rsidR="00A531E2">
              <w:rPr>
                <w:sz w:val="22"/>
                <w:szCs w:val="22"/>
              </w:rPr>
              <w:t xml:space="preserve"> to the calculator</w:t>
            </w:r>
            <w:r>
              <w:rPr>
                <w:sz w:val="22"/>
                <w:szCs w:val="22"/>
              </w:rPr>
              <w:t xml:space="preserve"> is encouraged to use that information.</w:t>
            </w:r>
          </w:p>
          <w:p w:rsidR="00961681" w:rsidRPr="00BF6E5C" w:rsidRDefault="00961681" w:rsidP="00C85B43">
            <w:pPr>
              <w:numPr>
                <w:ilvl w:val="4"/>
                <w:numId w:val="5"/>
              </w:numPr>
              <w:spacing w:before="120" w:after="120"/>
              <w:ind w:left="2376" w:hanging="270"/>
              <w:rPr>
                <w:b/>
                <w:sz w:val="22"/>
                <w:szCs w:val="22"/>
              </w:rPr>
            </w:pPr>
            <w:r w:rsidRPr="0081332A">
              <w:rPr>
                <w:sz w:val="22"/>
                <w:szCs w:val="22"/>
              </w:rPr>
              <w:t xml:space="preserve">The </w:t>
            </w:r>
            <w:r>
              <w:rPr>
                <w:sz w:val="22"/>
                <w:szCs w:val="22"/>
              </w:rPr>
              <w:t>commission/</w:t>
            </w:r>
            <w:r w:rsidRPr="0081332A">
              <w:rPr>
                <w:sz w:val="22"/>
                <w:szCs w:val="22"/>
              </w:rPr>
              <w:t xml:space="preserve">DMO is responsible for </w:t>
            </w:r>
            <w:r>
              <w:rPr>
                <w:sz w:val="22"/>
                <w:szCs w:val="22"/>
              </w:rPr>
              <w:t xml:space="preserve">the necessary data inputs required to run a credible calculation and </w:t>
            </w:r>
            <w:r w:rsidR="00A531E2">
              <w:rPr>
                <w:sz w:val="22"/>
                <w:szCs w:val="22"/>
              </w:rPr>
              <w:t>a</w:t>
            </w:r>
            <w:r>
              <w:rPr>
                <w:sz w:val="22"/>
                <w:szCs w:val="22"/>
              </w:rPr>
              <w:t xml:space="preserve"> charge of $200 per event</w:t>
            </w:r>
            <w:r w:rsidR="00A531E2">
              <w:rPr>
                <w:sz w:val="22"/>
                <w:szCs w:val="22"/>
              </w:rPr>
              <w:t xml:space="preserve"> (if the commission/DMO is not a subscriber to the calculator)</w:t>
            </w:r>
            <w:r>
              <w:rPr>
                <w:sz w:val="22"/>
                <w:szCs w:val="22"/>
              </w:rPr>
              <w:t xml:space="preserve">. </w:t>
            </w:r>
          </w:p>
          <w:p w:rsidR="00961681" w:rsidRPr="00BF6E5C" w:rsidRDefault="00961681" w:rsidP="00C85B43">
            <w:pPr>
              <w:numPr>
                <w:ilvl w:val="4"/>
                <w:numId w:val="5"/>
              </w:numPr>
              <w:spacing w:before="120" w:after="120"/>
              <w:ind w:left="2376" w:hanging="270"/>
              <w:rPr>
                <w:b/>
                <w:sz w:val="22"/>
                <w:szCs w:val="22"/>
              </w:rPr>
            </w:pPr>
            <w:r>
              <w:rPr>
                <w:sz w:val="22"/>
                <w:szCs w:val="22"/>
              </w:rPr>
              <w:t>The commission/DMO will need to provide a report with their application to show projected fiscal impact and a report after the event has concluded with actual fiscal impact – if excessive (defined as 6+ reports per event) are required, additional fees may apply.</w:t>
            </w:r>
          </w:p>
          <w:p w:rsidR="00961681" w:rsidRPr="00A531E2" w:rsidRDefault="00961681" w:rsidP="00C85B43">
            <w:pPr>
              <w:numPr>
                <w:ilvl w:val="4"/>
                <w:numId w:val="5"/>
              </w:numPr>
              <w:spacing w:before="120" w:after="120"/>
              <w:ind w:left="2376" w:hanging="270"/>
              <w:rPr>
                <w:b/>
                <w:sz w:val="22"/>
                <w:szCs w:val="22"/>
              </w:rPr>
            </w:pPr>
            <w:r>
              <w:rPr>
                <w:sz w:val="22"/>
                <w:szCs w:val="22"/>
              </w:rPr>
              <w:t>To request the required report</w:t>
            </w:r>
            <w:r w:rsidR="00A531E2">
              <w:rPr>
                <w:sz w:val="22"/>
                <w:szCs w:val="22"/>
              </w:rPr>
              <w:t>s</w:t>
            </w:r>
            <w:r>
              <w:rPr>
                <w:sz w:val="22"/>
                <w:szCs w:val="22"/>
              </w:rPr>
              <w:t xml:space="preserve">, </w:t>
            </w:r>
            <w:r w:rsidR="00A531E2">
              <w:rPr>
                <w:sz w:val="22"/>
                <w:szCs w:val="22"/>
              </w:rPr>
              <w:t xml:space="preserve">the commission/DMO can access the event data form and payment link from </w:t>
            </w:r>
            <w:hyperlink r:id="rId9" w:history="1">
              <w:r w:rsidR="00A531E2" w:rsidRPr="00A531E2">
                <w:rPr>
                  <w:rStyle w:val="Hyperlink"/>
                  <w:sz w:val="22"/>
                  <w:szCs w:val="22"/>
                </w:rPr>
                <w:t>Industry.VisitMO.com</w:t>
              </w:r>
            </w:hyperlink>
            <w:r w:rsidRPr="00A531E2">
              <w:rPr>
                <w:sz w:val="22"/>
                <w:szCs w:val="22"/>
              </w:rPr>
              <w:t xml:space="preserve">. </w:t>
            </w:r>
            <w:r w:rsidR="00A531E2">
              <w:rPr>
                <w:sz w:val="22"/>
                <w:szCs w:val="22"/>
              </w:rPr>
              <w:t>P</w:t>
            </w:r>
            <w:r w:rsidRPr="00A531E2">
              <w:rPr>
                <w:sz w:val="22"/>
                <w:szCs w:val="22"/>
              </w:rPr>
              <w:t xml:space="preserve">ayment is required before the report </w:t>
            </w:r>
            <w:r w:rsidR="00A531E2">
              <w:rPr>
                <w:sz w:val="22"/>
                <w:szCs w:val="22"/>
              </w:rPr>
              <w:t>will</w:t>
            </w:r>
            <w:r w:rsidRPr="00A531E2">
              <w:rPr>
                <w:sz w:val="22"/>
                <w:szCs w:val="22"/>
              </w:rPr>
              <w:t xml:space="preserve"> be generated. The PDF version of the report will be emailed to the commission/DMO Applicant.</w:t>
            </w:r>
          </w:p>
          <w:p w:rsidR="00961681" w:rsidRPr="0081332A" w:rsidRDefault="00961681" w:rsidP="00572472">
            <w:pPr>
              <w:numPr>
                <w:ilvl w:val="4"/>
                <w:numId w:val="5"/>
              </w:numPr>
              <w:spacing w:before="120" w:after="120"/>
              <w:ind w:left="2376" w:hanging="270"/>
              <w:rPr>
                <w:sz w:val="22"/>
                <w:szCs w:val="22"/>
              </w:rPr>
            </w:pPr>
            <w:r w:rsidRPr="00BF6E5C">
              <w:rPr>
                <w:sz w:val="22"/>
                <w:szCs w:val="22"/>
              </w:rPr>
              <w:t xml:space="preserve">DMAI will </w:t>
            </w:r>
            <w:r w:rsidR="00B237AF">
              <w:rPr>
                <w:sz w:val="22"/>
                <w:szCs w:val="22"/>
              </w:rPr>
              <w:t xml:space="preserve">generally </w:t>
            </w:r>
            <w:r w:rsidRPr="00BF6E5C">
              <w:rPr>
                <w:sz w:val="22"/>
                <w:szCs w:val="22"/>
              </w:rPr>
              <w:t xml:space="preserve">produce the report within </w:t>
            </w:r>
            <w:r w:rsidR="00572472">
              <w:rPr>
                <w:sz w:val="22"/>
                <w:szCs w:val="22"/>
              </w:rPr>
              <w:t>three</w:t>
            </w:r>
            <w:r w:rsidR="00B237AF">
              <w:rPr>
                <w:sz w:val="22"/>
                <w:szCs w:val="22"/>
              </w:rPr>
              <w:t xml:space="preserve"> to five</w:t>
            </w:r>
            <w:r w:rsidRPr="00BF6E5C">
              <w:rPr>
                <w:sz w:val="22"/>
                <w:szCs w:val="22"/>
              </w:rPr>
              <w:t xml:space="preserve"> business days of receiving the event data and payment.</w:t>
            </w:r>
          </w:p>
        </w:tc>
      </w:tr>
      <w:tr w:rsidR="00F215FD" w:rsidTr="00961681">
        <w:tblPrEx>
          <w:tblBorders>
            <w:left w:val="single" w:sz="4" w:space="0" w:color="auto"/>
            <w:right w:val="single" w:sz="4" w:space="0" w:color="auto"/>
          </w:tblBorders>
          <w:tblLook w:val="0000"/>
        </w:tblPrEx>
        <w:trPr>
          <w:trHeight w:val="404"/>
          <w:jc w:val="center"/>
        </w:trPr>
        <w:tc>
          <w:tcPr>
            <w:tcW w:w="10908" w:type="dxa"/>
            <w:tcBorders>
              <w:top w:val="single" w:sz="4" w:space="0" w:color="auto"/>
              <w:left w:val="nil"/>
              <w:bottom w:val="single" w:sz="4" w:space="0" w:color="auto"/>
              <w:right w:val="nil"/>
            </w:tcBorders>
            <w:shd w:val="clear" w:color="auto" w:fill="B8CCE4"/>
            <w:vAlign w:val="center"/>
          </w:tcPr>
          <w:p w:rsidR="00F215FD" w:rsidRPr="0081332A" w:rsidRDefault="00F215FD" w:rsidP="00B53BAB">
            <w:pPr>
              <w:spacing w:before="120" w:after="120"/>
              <w:ind w:left="396" w:hanging="360"/>
              <w:rPr>
                <w:sz w:val="22"/>
                <w:szCs w:val="22"/>
              </w:rPr>
            </w:pPr>
            <w:r w:rsidRPr="0081332A">
              <w:rPr>
                <w:b/>
                <w:sz w:val="22"/>
                <w:szCs w:val="22"/>
              </w:rPr>
              <w:t>APPROVAL PROCEDURE</w:t>
            </w:r>
            <w:r>
              <w:rPr>
                <w:b/>
                <w:sz w:val="22"/>
                <w:szCs w:val="22"/>
              </w:rPr>
              <w:t>:</w:t>
            </w:r>
          </w:p>
        </w:tc>
      </w:tr>
      <w:tr w:rsidR="00E22F42" w:rsidTr="00961681">
        <w:tblPrEx>
          <w:tblBorders>
            <w:left w:val="single" w:sz="4" w:space="0" w:color="auto"/>
            <w:right w:val="single" w:sz="4" w:space="0" w:color="auto"/>
          </w:tblBorders>
          <w:tblLook w:val="0000"/>
        </w:tblPrEx>
        <w:trPr>
          <w:trHeight w:val="359"/>
          <w:jc w:val="center"/>
        </w:trPr>
        <w:tc>
          <w:tcPr>
            <w:tcW w:w="10908" w:type="dxa"/>
            <w:tcBorders>
              <w:top w:val="single" w:sz="4" w:space="0" w:color="auto"/>
              <w:left w:val="nil"/>
              <w:bottom w:val="single" w:sz="4" w:space="0" w:color="auto"/>
              <w:right w:val="nil"/>
            </w:tcBorders>
            <w:shd w:val="clear" w:color="auto" w:fill="auto"/>
            <w:vAlign w:val="center"/>
          </w:tcPr>
          <w:p w:rsidR="0081332A" w:rsidRPr="00F215FD" w:rsidRDefault="00F215FD" w:rsidP="00B53BAB">
            <w:pPr>
              <w:spacing w:before="120" w:after="120"/>
              <w:ind w:left="403" w:hanging="7"/>
            </w:pPr>
            <w:r w:rsidRPr="00F215FD">
              <w:rPr>
                <w:sz w:val="22"/>
                <w:szCs w:val="22"/>
              </w:rPr>
              <w:t>Applications and all required attachments will only be accepted via email.</w:t>
            </w:r>
          </w:p>
        </w:tc>
      </w:tr>
      <w:tr w:rsidR="00E22F42" w:rsidTr="00961681">
        <w:tblPrEx>
          <w:tblBorders>
            <w:left w:val="single" w:sz="4" w:space="0" w:color="auto"/>
            <w:right w:val="single" w:sz="4" w:space="0" w:color="auto"/>
          </w:tblBorders>
          <w:tblLook w:val="0000"/>
        </w:tblPrEx>
        <w:trPr>
          <w:trHeight w:val="446"/>
          <w:jc w:val="center"/>
        </w:trPr>
        <w:tc>
          <w:tcPr>
            <w:tcW w:w="10908" w:type="dxa"/>
            <w:tcBorders>
              <w:top w:val="single" w:sz="4" w:space="0" w:color="auto"/>
              <w:left w:val="nil"/>
              <w:bottom w:val="single" w:sz="4" w:space="0" w:color="auto"/>
              <w:right w:val="nil"/>
            </w:tcBorders>
            <w:shd w:val="clear" w:color="auto" w:fill="auto"/>
            <w:vAlign w:val="center"/>
          </w:tcPr>
          <w:p w:rsidR="00E22F42" w:rsidRPr="00AF5581" w:rsidRDefault="00F215FD" w:rsidP="00B53BAB">
            <w:pPr>
              <w:spacing w:before="120" w:after="120"/>
              <w:ind w:left="403"/>
              <w:rPr>
                <w:b/>
                <w:sz w:val="22"/>
                <w:szCs w:val="22"/>
              </w:rPr>
            </w:pPr>
            <w:r w:rsidRPr="00AF5581">
              <w:rPr>
                <w:sz w:val="22"/>
                <w:szCs w:val="22"/>
              </w:rPr>
              <w:t>Applications will be reviewed in the order they are received. The “</w:t>
            </w:r>
            <w:r w:rsidR="005402A5">
              <w:rPr>
                <w:sz w:val="22"/>
                <w:szCs w:val="22"/>
              </w:rPr>
              <w:t>Received</w:t>
            </w:r>
            <w:r w:rsidRPr="00AF5581">
              <w:rPr>
                <w:sz w:val="22"/>
                <w:szCs w:val="22"/>
              </w:rPr>
              <w:t xml:space="preserve"> Date” and time will be determined by the application (and all relevant information) being received at </w:t>
            </w:r>
            <w:hyperlink r:id="rId10" w:history="1">
              <w:r w:rsidR="00713C97" w:rsidRPr="00046647">
                <w:rPr>
                  <w:rStyle w:val="Hyperlink"/>
                  <w:sz w:val="22"/>
                  <w:szCs w:val="22"/>
                </w:rPr>
                <w:t>MeetInMissouri@ded.mo.gov</w:t>
              </w:r>
            </w:hyperlink>
            <w:r w:rsidRPr="00AF5581">
              <w:rPr>
                <w:sz w:val="22"/>
                <w:szCs w:val="22"/>
              </w:rPr>
              <w:t>. The commission/DMO will receive an email acknowledging receipt of the application. However, receipt of the application does not hold funds or ensure the next open spot in the queue.</w:t>
            </w:r>
          </w:p>
        </w:tc>
      </w:tr>
      <w:tr w:rsidR="00E22F42" w:rsidTr="00B53FC7">
        <w:tblPrEx>
          <w:tblBorders>
            <w:left w:val="single" w:sz="4" w:space="0" w:color="auto"/>
            <w:right w:val="single" w:sz="4" w:space="0" w:color="auto"/>
          </w:tblBorders>
          <w:tblLook w:val="0000"/>
        </w:tblPrEx>
        <w:trPr>
          <w:trHeight w:val="1236"/>
          <w:jc w:val="center"/>
        </w:trPr>
        <w:tc>
          <w:tcPr>
            <w:tcW w:w="10908" w:type="dxa"/>
            <w:tcBorders>
              <w:top w:val="single" w:sz="4" w:space="0" w:color="auto"/>
              <w:left w:val="nil"/>
              <w:bottom w:val="single" w:sz="4" w:space="0" w:color="FFFFFF" w:themeColor="background1"/>
              <w:right w:val="nil"/>
            </w:tcBorders>
            <w:shd w:val="clear" w:color="auto" w:fill="auto"/>
            <w:vAlign w:val="center"/>
          </w:tcPr>
          <w:p w:rsidR="00E22F42" w:rsidRPr="00AF5581" w:rsidRDefault="00F215FD" w:rsidP="00B53BAB">
            <w:pPr>
              <w:spacing w:before="120" w:after="120"/>
              <w:ind w:left="403"/>
              <w:rPr>
                <w:b/>
                <w:sz w:val="22"/>
                <w:szCs w:val="22"/>
              </w:rPr>
            </w:pPr>
            <w:r w:rsidRPr="00AF5581">
              <w:rPr>
                <w:sz w:val="22"/>
                <w:szCs w:val="22"/>
              </w:rPr>
              <w:t xml:space="preserve">The application will be reviewed for completion and accuracy. They will be reviewed in order that they were received using the official “Received Date”. A </w:t>
            </w:r>
            <w:r w:rsidR="005402A5">
              <w:rPr>
                <w:sz w:val="22"/>
                <w:szCs w:val="22"/>
              </w:rPr>
              <w:t>“Completed</w:t>
            </w:r>
            <w:r w:rsidRPr="00AF5581">
              <w:rPr>
                <w:sz w:val="22"/>
                <w:szCs w:val="22"/>
              </w:rPr>
              <w:t xml:space="preserve"> Date</w:t>
            </w:r>
            <w:r w:rsidR="005402A5">
              <w:rPr>
                <w:sz w:val="22"/>
                <w:szCs w:val="22"/>
              </w:rPr>
              <w:t>”</w:t>
            </w:r>
            <w:r w:rsidRPr="00AF5581">
              <w:rPr>
                <w:sz w:val="22"/>
                <w:szCs w:val="22"/>
              </w:rPr>
              <w:t xml:space="preserve"> will be given if the application is complete and accurate. If the application is incomplete, the DED will provide the eligible commission with a list of incomplete items. The application will not receive a </w:t>
            </w:r>
            <w:r w:rsidR="005402A5">
              <w:rPr>
                <w:sz w:val="22"/>
                <w:szCs w:val="22"/>
              </w:rPr>
              <w:t>“Completed</w:t>
            </w:r>
            <w:r w:rsidRPr="00AF5581">
              <w:rPr>
                <w:sz w:val="22"/>
                <w:szCs w:val="22"/>
              </w:rPr>
              <w:t xml:space="preserve"> Date</w:t>
            </w:r>
            <w:r w:rsidR="005402A5">
              <w:rPr>
                <w:sz w:val="22"/>
                <w:szCs w:val="22"/>
              </w:rPr>
              <w:t>”</w:t>
            </w:r>
            <w:r w:rsidRPr="00AF5581">
              <w:rPr>
                <w:sz w:val="22"/>
                <w:szCs w:val="22"/>
              </w:rPr>
              <w:t xml:space="preserve"> and will not yet be placed </w:t>
            </w:r>
          </w:p>
        </w:tc>
      </w:tr>
      <w:tr w:rsidR="00B53FC7" w:rsidTr="00B53FC7">
        <w:tblPrEx>
          <w:tblBorders>
            <w:left w:val="single" w:sz="4" w:space="0" w:color="auto"/>
            <w:right w:val="single" w:sz="4" w:space="0" w:color="auto"/>
          </w:tblBorders>
          <w:tblLook w:val="0000"/>
        </w:tblPrEx>
        <w:trPr>
          <w:trHeight w:val="628"/>
          <w:jc w:val="center"/>
        </w:trPr>
        <w:tc>
          <w:tcPr>
            <w:tcW w:w="10908" w:type="dxa"/>
            <w:tcBorders>
              <w:top w:val="single" w:sz="4" w:space="0" w:color="FFFFFF" w:themeColor="background1"/>
              <w:left w:val="nil"/>
              <w:bottom w:val="single" w:sz="4" w:space="0" w:color="auto"/>
              <w:right w:val="nil"/>
            </w:tcBorders>
            <w:shd w:val="clear" w:color="auto" w:fill="auto"/>
            <w:vAlign w:val="center"/>
          </w:tcPr>
          <w:p w:rsidR="00B53FC7" w:rsidRPr="00AF5581" w:rsidRDefault="00B53FC7" w:rsidP="00B53BAB">
            <w:pPr>
              <w:spacing w:before="120" w:after="120"/>
              <w:ind w:left="403"/>
              <w:rPr>
                <w:sz w:val="22"/>
                <w:szCs w:val="22"/>
              </w:rPr>
            </w:pPr>
            <w:proofErr w:type="gramStart"/>
            <w:r w:rsidRPr="00AF5581">
              <w:rPr>
                <w:sz w:val="22"/>
                <w:szCs w:val="22"/>
              </w:rPr>
              <w:lastRenderedPageBreak/>
              <w:t>into</w:t>
            </w:r>
            <w:proofErr w:type="gramEnd"/>
            <w:r w:rsidRPr="00AF5581">
              <w:rPr>
                <w:sz w:val="22"/>
                <w:szCs w:val="22"/>
              </w:rPr>
              <w:t xml:space="preserve"> the queue. The commission/DMO will provide the requested items and when the application is found to be complete, the application will receive a </w:t>
            </w:r>
            <w:r>
              <w:rPr>
                <w:sz w:val="22"/>
                <w:szCs w:val="22"/>
              </w:rPr>
              <w:t>“Completed</w:t>
            </w:r>
            <w:r w:rsidRPr="00AF5581">
              <w:rPr>
                <w:sz w:val="22"/>
                <w:szCs w:val="22"/>
              </w:rPr>
              <w:t xml:space="preserve"> Date.</w:t>
            </w:r>
            <w:r>
              <w:rPr>
                <w:sz w:val="22"/>
                <w:szCs w:val="22"/>
              </w:rPr>
              <w:t>”</w:t>
            </w:r>
          </w:p>
        </w:tc>
      </w:tr>
      <w:tr w:rsidR="00E22F42" w:rsidTr="00961681">
        <w:tblPrEx>
          <w:tblBorders>
            <w:left w:val="single" w:sz="4" w:space="0" w:color="auto"/>
            <w:right w:val="single" w:sz="4" w:space="0" w:color="auto"/>
          </w:tblBorders>
          <w:tblLook w:val="0000"/>
        </w:tblPrEx>
        <w:trPr>
          <w:trHeight w:val="446"/>
          <w:jc w:val="center"/>
        </w:trPr>
        <w:tc>
          <w:tcPr>
            <w:tcW w:w="10908" w:type="dxa"/>
            <w:tcBorders>
              <w:top w:val="single" w:sz="4" w:space="0" w:color="auto"/>
              <w:left w:val="nil"/>
              <w:right w:val="nil"/>
            </w:tcBorders>
            <w:shd w:val="clear" w:color="auto" w:fill="auto"/>
            <w:vAlign w:val="center"/>
          </w:tcPr>
          <w:p w:rsidR="00E22F42" w:rsidRPr="00AF5581" w:rsidRDefault="00F215FD" w:rsidP="00B53BAB">
            <w:pPr>
              <w:spacing w:before="120" w:after="120"/>
              <w:ind w:left="403"/>
              <w:rPr>
                <w:b/>
                <w:sz w:val="22"/>
                <w:szCs w:val="22"/>
              </w:rPr>
            </w:pPr>
            <w:r w:rsidRPr="00AF5581">
              <w:rPr>
                <w:sz w:val="22"/>
                <w:szCs w:val="22"/>
              </w:rPr>
              <w:t xml:space="preserve">After the application has received a </w:t>
            </w:r>
            <w:r w:rsidR="005402A5">
              <w:rPr>
                <w:sz w:val="22"/>
                <w:szCs w:val="22"/>
              </w:rPr>
              <w:t>“Completed Date”</w:t>
            </w:r>
            <w:r w:rsidRPr="00AF5581">
              <w:rPr>
                <w:sz w:val="22"/>
                <w:szCs w:val="22"/>
              </w:rPr>
              <w:t xml:space="preserve"> and </w:t>
            </w:r>
            <w:r w:rsidR="00CD10AF">
              <w:rPr>
                <w:sz w:val="22"/>
                <w:szCs w:val="22"/>
              </w:rPr>
              <w:t xml:space="preserve">been </w:t>
            </w:r>
            <w:r w:rsidRPr="00AF5581">
              <w:rPr>
                <w:sz w:val="22"/>
                <w:szCs w:val="22"/>
              </w:rPr>
              <w:t>approved by the DED Director</w:t>
            </w:r>
            <w:r w:rsidR="005402A5">
              <w:rPr>
                <w:sz w:val="22"/>
                <w:szCs w:val="22"/>
              </w:rPr>
              <w:t xml:space="preserve"> or his or her designee</w:t>
            </w:r>
            <w:r w:rsidRPr="00AF5581">
              <w:rPr>
                <w:sz w:val="22"/>
                <w:szCs w:val="22"/>
              </w:rPr>
              <w:t xml:space="preserve">, it will be moved to a queue and funds will be held. All applications will go into the queue based on the order they </w:t>
            </w:r>
            <w:r w:rsidR="005402A5">
              <w:rPr>
                <w:sz w:val="22"/>
                <w:szCs w:val="22"/>
              </w:rPr>
              <w:t>received a “Completed Date.</w:t>
            </w:r>
            <w:r w:rsidR="00A346DC">
              <w:rPr>
                <w:sz w:val="22"/>
                <w:szCs w:val="22"/>
              </w:rPr>
              <w:t>”</w:t>
            </w:r>
            <w:r w:rsidRPr="00AF5581">
              <w:rPr>
                <w:sz w:val="22"/>
                <w:szCs w:val="22"/>
              </w:rPr>
              <w:t xml:space="preserve"> </w:t>
            </w:r>
            <w:r w:rsidR="005402A5">
              <w:rPr>
                <w:sz w:val="22"/>
                <w:szCs w:val="22"/>
              </w:rPr>
              <w:t xml:space="preserve">In the event that </w:t>
            </w:r>
            <w:r w:rsidRPr="00AF5581">
              <w:rPr>
                <w:sz w:val="22"/>
                <w:szCs w:val="22"/>
              </w:rPr>
              <w:t xml:space="preserve">the </w:t>
            </w:r>
            <w:r w:rsidR="005402A5">
              <w:rPr>
                <w:sz w:val="22"/>
                <w:szCs w:val="22"/>
              </w:rPr>
              <w:t>d</w:t>
            </w:r>
            <w:r w:rsidRPr="00AF5581">
              <w:rPr>
                <w:sz w:val="22"/>
                <w:szCs w:val="22"/>
              </w:rPr>
              <w:t>irector approves the application, a Certificate of Approval will be sent to the commission/DMO. The approval will be contingent on appropriation of funds and the commission/DMO being awarded the convention</w:t>
            </w:r>
            <w:r w:rsidR="00197E80">
              <w:rPr>
                <w:sz w:val="22"/>
                <w:szCs w:val="22"/>
              </w:rPr>
              <w:t xml:space="preserve"> and the commission/DMO meeting all other requirements as listed in these guidelines</w:t>
            </w:r>
            <w:r w:rsidRPr="00AF5581">
              <w:rPr>
                <w:sz w:val="22"/>
                <w:szCs w:val="22"/>
              </w:rPr>
              <w:t>.</w:t>
            </w:r>
          </w:p>
        </w:tc>
      </w:tr>
      <w:tr w:rsidR="005402A5" w:rsidTr="009C74CC">
        <w:tblPrEx>
          <w:tblBorders>
            <w:left w:val="single" w:sz="4" w:space="0" w:color="auto"/>
            <w:right w:val="single" w:sz="4" w:space="0" w:color="auto"/>
          </w:tblBorders>
          <w:tblLook w:val="0000"/>
        </w:tblPrEx>
        <w:trPr>
          <w:trHeight w:val="602"/>
          <w:jc w:val="center"/>
        </w:trPr>
        <w:tc>
          <w:tcPr>
            <w:tcW w:w="10908" w:type="dxa"/>
            <w:tcBorders>
              <w:left w:val="nil"/>
              <w:right w:val="nil"/>
            </w:tcBorders>
            <w:shd w:val="clear" w:color="auto" w:fill="auto"/>
            <w:vAlign w:val="center"/>
          </w:tcPr>
          <w:p w:rsidR="005402A5" w:rsidRPr="00AF5581" w:rsidRDefault="005402A5" w:rsidP="00B53BAB">
            <w:pPr>
              <w:spacing w:before="120" w:after="120"/>
              <w:ind w:left="403"/>
              <w:rPr>
                <w:sz w:val="22"/>
                <w:szCs w:val="22"/>
              </w:rPr>
            </w:pPr>
            <w:r>
              <w:rPr>
                <w:sz w:val="22"/>
                <w:szCs w:val="22"/>
              </w:rPr>
              <w:t xml:space="preserve">In the event that the director denies the application, a </w:t>
            </w:r>
            <w:r w:rsidR="00B12103">
              <w:rPr>
                <w:sz w:val="22"/>
                <w:szCs w:val="22"/>
              </w:rPr>
              <w:t>Denial Letter will be sent to the commission/DMO. The letter will address the reason(s) for the denial.</w:t>
            </w:r>
          </w:p>
        </w:tc>
      </w:tr>
      <w:tr w:rsidR="00E22F42" w:rsidTr="00E22F42">
        <w:tblPrEx>
          <w:tblBorders>
            <w:left w:val="single" w:sz="4" w:space="0" w:color="auto"/>
            <w:right w:val="single" w:sz="4" w:space="0" w:color="auto"/>
          </w:tblBorders>
          <w:tblLook w:val="0000"/>
        </w:tblPrEx>
        <w:trPr>
          <w:trHeight w:val="446"/>
          <w:jc w:val="center"/>
        </w:trPr>
        <w:tc>
          <w:tcPr>
            <w:tcW w:w="10908" w:type="dxa"/>
            <w:tcBorders>
              <w:left w:val="nil"/>
              <w:right w:val="nil"/>
            </w:tcBorders>
            <w:shd w:val="clear" w:color="auto" w:fill="B8CCE4"/>
            <w:vAlign w:val="center"/>
          </w:tcPr>
          <w:p w:rsidR="00E22F42" w:rsidRPr="00AF5581" w:rsidRDefault="00E22F42" w:rsidP="00B53BAB">
            <w:pPr>
              <w:spacing w:before="120" w:after="120"/>
              <w:ind w:left="396" w:hanging="360"/>
              <w:rPr>
                <w:b/>
                <w:sz w:val="22"/>
                <w:szCs w:val="22"/>
              </w:rPr>
            </w:pPr>
            <w:r w:rsidRPr="00AF5581">
              <w:rPr>
                <w:b/>
                <w:sz w:val="22"/>
                <w:szCs w:val="22"/>
              </w:rPr>
              <w:t>MULTI-YEAR EVENTS:</w:t>
            </w:r>
          </w:p>
        </w:tc>
      </w:tr>
      <w:tr w:rsidR="00E22F42" w:rsidTr="00BB5B08">
        <w:tblPrEx>
          <w:tblBorders>
            <w:left w:val="single" w:sz="4" w:space="0" w:color="auto"/>
            <w:right w:val="single" w:sz="4" w:space="0" w:color="auto"/>
          </w:tblBorders>
          <w:tblLook w:val="0000"/>
        </w:tblPrEx>
        <w:trPr>
          <w:trHeight w:val="899"/>
          <w:jc w:val="center"/>
        </w:trPr>
        <w:tc>
          <w:tcPr>
            <w:tcW w:w="10908" w:type="dxa"/>
            <w:tcBorders>
              <w:left w:val="nil"/>
              <w:right w:val="nil"/>
            </w:tcBorders>
            <w:shd w:val="clear" w:color="auto" w:fill="auto"/>
            <w:vAlign w:val="center"/>
          </w:tcPr>
          <w:p w:rsidR="00353BB1" w:rsidRPr="00AF5581" w:rsidRDefault="0081332A" w:rsidP="00B53BAB">
            <w:pPr>
              <w:pStyle w:val="NoSpacing"/>
              <w:spacing w:before="120" w:after="120"/>
              <w:ind w:left="403" w:hanging="7"/>
              <w:rPr>
                <w:sz w:val="22"/>
                <w:szCs w:val="22"/>
              </w:rPr>
            </w:pPr>
            <w:r w:rsidRPr="00AF5581">
              <w:rPr>
                <w:sz w:val="22"/>
                <w:szCs w:val="22"/>
              </w:rPr>
              <w:t>For requests for proposals where the convention contract is awarded for multiple years, a separate application w</w:t>
            </w:r>
            <w:r w:rsidR="00D318C8">
              <w:rPr>
                <w:sz w:val="22"/>
                <w:szCs w:val="22"/>
              </w:rPr>
              <w:t>ill</w:t>
            </w:r>
            <w:r w:rsidRPr="00AF5581">
              <w:rPr>
                <w:sz w:val="22"/>
                <w:szCs w:val="22"/>
              </w:rPr>
              <w:t xml:space="preserve"> be filed for each year.</w:t>
            </w:r>
            <w:r w:rsidR="00F215FD" w:rsidRPr="00AF5581">
              <w:rPr>
                <w:sz w:val="22"/>
                <w:szCs w:val="22"/>
              </w:rPr>
              <w:t xml:space="preserve"> However, all of the applications can be submitted at the same time as long as the final year of the contract is within 5 years of the application.</w:t>
            </w:r>
          </w:p>
        </w:tc>
      </w:tr>
      <w:tr w:rsidR="00E22F42" w:rsidTr="00E22F42">
        <w:tblPrEx>
          <w:tblBorders>
            <w:left w:val="single" w:sz="4" w:space="0" w:color="auto"/>
            <w:right w:val="single" w:sz="4" w:space="0" w:color="auto"/>
          </w:tblBorders>
          <w:tblLook w:val="0000"/>
        </w:tblPrEx>
        <w:trPr>
          <w:trHeight w:val="446"/>
          <w:jc w:val="center"/>
        </w:trPr>
        <w:tc>
          <w:tcPr>
            <w:tcW w:w="10908" w:type="dxa"/>
            <w:tcBorders>
              <w:left w:val="nil"/>
              <w:right w:val="nil"/>
            </w:tcBorders>
            <w:shd w:val="clear" w:color="auto" w:fill="auto"/>
            <w:vAlign w:val="center"/>
          </w:tcPr>
          <w:p w:rsidR="00F215FD" w:rsidRPr="00AF5581" w:rsidRDefault="0081332A" w:rsidP="00B53BAB">
            <w:pPr>
              <w:spacing w:before="120" w:after="120"/>
              <w:ind w:left="403" w:hanging="7"/>
              <w:rPr>
                <w:sz w:val="22"/>
                <w:szCs w:val="22"/>
              </w:rPr>
            </w:pPr>
            <w:r w:rsidRPr="00AF5581">
              <w:rPr>
                <w:sz w:val="22"/>
                <w:szCs w:val="22"/>
              </w:rPr>
              <w:t>The DED will consider each year of a multiple year contract as a separate grant.</w:t>
            </w:r>
            <w:r w:rsidR="00F215FD" w:rsidRPr="00AF5581">
              <w:rPr>
                <w:sz w:val="22"/>
                <w:szCs w:val="22"/>
              </w:rPr>
              <w:t xml:space="preserve"> Each separate grant require</w:t>
            </w:r>
            <w:r w:rsidR="00D318C8">
              <w:rPr>
                <w:sz w:val="22"/>
                <w:szCs w:val="22"/>
              </w:rPr>
              <w:t>s</w:t>
            </w:r>
            <w:r w:rsidR="00F215FD" w:rsidRPr="00AF5581">
              <w:rPr>
                <w:sz w:val="22"/>
                <w:szCs w:val="22"/>
              </w:rPr>
              <w:t xml:space="preserve"> a separate report and funding will be dispersed separately.</w:t>
            </w:r>
          </w:p>
        </w:tc>
      </w:tr>
      <w:tr w:rsidR="00E22F42" w:rsidTr="009C74CC">
        <w:tblPrEx>
          <w:tblBorders>
            <w:left w:val="single" w:sz="4" w:space="0" w:color="auto"/>
            <w:right w:val="single" w:sz="4" w:space="0" w:color="auto"/>
          </w:tblBorders>
          <w:tblLook w:val="0000"/>
        </w:tblPrEx>
        <w:trPr>
          <w:trHeight w:val="386"/>
          <w:jc w:val="center"/>
        </w:trPr>
        <w:tc>
          <w:tcPr>
            <w:tcW w:w="10908" w:type="dxa"/>
            <w:tcBorders>
              <w:left w:val="nil"/>
              <w:right w:val="nil"/>
            </w:tcBorders>
            <w:shd w:val="clear" w:color="auto" w:fill="B8CCE4"/>
            <w:vAlign w:val="center"/>
          </w:tcPr>
          <w:p w:rsidR="00E22F42" w:rsidRPr="00AF5581" w:rsidRDefault="00E22F42" w:rsidP="00B53BAB">
            <w:pPr>
              <w:spacing w:before="120" w:after="120"/>
              <w:ind w:left="396" w:hanging="360"/>
              <w:rPr>
                <w:b/>
                <w:sz w:val="22"/>
                <w:szCs w:val="22"/>
              </w:rPr>
            </w:pPr>
            <w:r w:rsidRPr="00AF5581">
              <w:rPr>
                <w:b/>
                <w:sz w:val="22"/>
                <w:szCs w:val="22"/>
              </w:rPr>
              <w:t>DISBURSEMENT OF FUNDS:</w:t>
            </w:r>
          </w:p>
        </w:tc>
      </w:tr>
      <w:tr w:rsidR="00713C97" w:rsidTr="00E22F42">
        <w:tblPrEx>
          <w:tblBorders>
            <w:left w:val="single" w:sz="4" w:space="0" w:color="auto"/>
            <w:right w:val="single" w:sz="4" w:space="0" w:color="auto"/>
          </w:tblBorders>
          <w:tblLook w:val="0000"/>
        </w:tblPrEx>
        <w:trPr>
          <w:trHeight w:val="446"/>
          <w:jc w:val="center"/>
        </w:trPr>
        <w:tc>
          <w:tcPr>
            <w:tcW w:w="10908" w:type="dxa"/>
            <w:tcBorders>
              <w:left w:val="nil"/>
              <w:right w:val="nil"/>
            </w:tcBorders>
            <w:shd w:val="clear" w:color="auto" w:fill="auto"/>
            <w:vAlign w:val="center"/>
          </w:tcPr>
          <w:p w:rsidR="00713C97" w:rsidRPr="00AF5581" w:rsidRDefault="00713C97" w:rsidP="00B53BAB">
            <w:pPr>
              <w:spacing w:before="120" w:after="120"/>
              <w:ind w:left="403"/>
              <w:rPr>
                <w:sz w:val="22"/>
                <w:szCs w:val="22"/>
              </w:rPr>
            </w:pPr>
            <w:r>
              <w:rPr>
                <w:sz w:val="22"/>
                <w:szCs w:val="22"/>
              </w:rPr>
              <w:t xml:space="preserve">The DED will not disburse approved funds until the commission/DMO has submitted </w:t>
            </w:r>
            <w:r w:rsidR="00AA17E9">
              <w:rPr>
                <w:sz w:val="22"/>
                <w:szCs w:val="22"/>
              </w:rPr>
              <w:t>evidence</w:t>
            </w:r>
            <w:r>
              <w:rPr>
                <w:sz w:val="22"/>
                <w:szCs w:val="22"/>
              </w:rPr>
              <w:t xml:space="preserve"> that they have been awarded the major convention. The DED should receive this documentation at </w:t>
            </w:r>
            <w:hyperlink r:id="rId11" w:history="1">
              <w:r w:rsidRPr="00046647">
                <w:rPr>
                  <w:rStyle w:val="Hyperlink"/>
                  <w:sz w:val="22"/>
                  <w:szCs w:val="22"/>
                </w:rPr>
                <w:t>MeetInMissouri@ded.mo.gov</w:t>
              </w:r>
            </w:hyperlink>
            <w:r>
              <w:rPr>
                <w:sz w:val="22"/>
                <w:szCs w:val="22"/>
              </w:rPr>
              <w:t xml:space="preserve">. </w:t>
            </w:r>
          </w:p>
        </w:tc>
      </w:tr>
      <w:tr w:rsidR="00F155CA" w:rsidTr="00E22F42">
        <w:tblPrEx>
          <w:tblBorders>
            <w:left w:val="single" w:sz="4" w:space="0" w:color="auto"/>
            <w:right w:val="single" w:sz="4" w:space="0" w:color="auto"/>
          </w:tblBorders>
          <w:tblLook w:val="0000"/>
        </w:tblPrEx>
        <w:trPr>
          <w:trHeight w:val="446"/>
          <w:jc w:val="center"/>
        </w:trPr>
        <w:tc>
          <w:tcPr>
            <w:tcW w:w="10908" w:type="dxa"/>
            <w:tcBorders>
              <w:left w:val="nil"/>
              <w:right w:val="nil"/>
            </w:tcBorders>
            <w:shd w:val="clear" w:color="auto" w:fill="auto"/>
            <w:vAlign w:val="center"/>
          </w:tcPr>
          <w:p w:rsidR="00F155CA" w:rsidRDefault="00F155CA" w:rsidP="00B53BAB">
            <w:pPr>
              <w:spacing w:before="120" w:after="120"/>
              <w:ind w:left="403"/>
              <w:rPr>
                <w:sz w:val="22"/>
                <w:szCs w:val="22"/>
              </w:rPr>
            </w:pPr>
            <w:r>
              <w:rPr>
                <w:sz w:val="22"/>
                <w:szCs w:val="22"/>
              </w:rPr>
              <w:t xml:space="preserve">The DED will not disburse approved funds until the commission/DMO has submitted </w:t>
            </w:r>
            <w:r w:rsidR="00AA17E9">
              <w:rPr>
                <w:sz w:val="22"/>
                <w:szCs w:val="22"/>
              </w:rPr>
              <w:t>evidence</w:t>
            </w:r>
            <w:r>
              <w:rPr>
                <w:sz w:val="22"/>
                <w:szCs w:val="22"/>
              </w:rPr>
              <w:t xml:space="preserve"> that they have a separate, segregated account set up to receive the electronic transfer of funds from the Major Economic Convention Event in Missouri Fund.</w:t>
            </w:r>
          </w:p>
        </w:tc>
      </w:tr>
      <w:tr w:rsidR="00E22F42" w:rsidTr="00E22F42">
        <w:tblPrEx>
          <w:tblBorders>
            <w:left w:val="single" w:sz="4" w:space="0" w:color="auto"/>
            <w:right w:val="single" w:sz="4" w:space="0" w:color="auto"/>
          </w:tblBorders>
          <w:tblLook w:val="0000"/>
        </w:tblPrEx>
        <w:trPr>
          <w:trHeight w:val="446"/>
          <w:jc w:val="center"/>
        </w:trPr>
        <w:tc>
          <w:tcPr>
            <w:tcW w:w="10908" w:type="dxa"/>
            <w:tcBorders>
              <w:left w:val="nil"/>
              <w:right w:val="nil"/>
            </w:tcBorders>
            <w:shd w:val="clear" w:color="auto" w:fill="auto"/>
            <w:vAlign w:val="center"/>
          </w:tcPr>
          <w:p w:rsidR="00E22F42" w:rsidRPr="00AF5581" w:rsidRDefault="00AF6C67" w:rsidP="00B53BAB">
            <w:pPr>
              <w:spacing w:before="120" w:after="120"/>
              <w:ind w:left="403"/>
              <w:rPr>
                <w:b/>
                <w:sz w:val="22"/>
                <w:szCs w:val="22"/>
              </w:rPr>
            </w:pPr>
            <w:r w:rsidRPr="00AF5581">
              <w:rPr>
                <w:sz w:val="22"/>
                <w:szCs w:val="22"/>
              </w:rPr>
              <w:t xml:space="preserve">Once the application has been approved </w:t>
            </w:r>
            <w:r w:rsidR="00F215FD" w:rsidRPr="00AF5581">
              <w:rPr>
                <w:sz w:val="22"/>
                <w:szCs w:val="22"/>
              </w:rPr>
              <w:t xml:space="preserve">by </w:t>
            </w:r>
            <w:r w:rsidR="00713C97">
              <w:rPr>
                <w:sz w:val="22"/>
                <w:szCs w:val="22"/>
              </w:rPr>
              <w:t xml:space="preserve">the </w:t>
            </w:r>
            <w:r w:rsidR="00F215FD" w:rsidRPr="00AF5581">
              <w:rPr>
                <w:sz w:val="22"/>
                <w:szCs w:val="22"/>
              </w:rPr>
              <w:t>DED,</w:t>
            </w:r>
            <w:r w:rsidRPr="00AF5581">
              <w:rPr>
                <w:sz w:val="22"/>
                <w:szCs w:val="22"/>
              </w:rPr>
              <w:t xml:space="preserve"> the </w:t>
            </w:r>
            <w:r w:rsidR="00541D1D" w:rsidRPr="00AF5581">
              <w:rPr>
                <w:sz w:val="22"/>
                <w:szCs w:val="22"/>
              </w:rPr>
              <w:t>commission/DMO</w:t>
            </w:r>
            <w:r w:rsidRPr="00AF5581">
              <w:rPr>
                <w:sz w:val="22"/>
                <w:szCs w:val="22"/>
              </w:rPr>
              <w:t xml:space="preserve"> has been awar</w:t>
            </w:r>
            <w:r w:rsidR="00F215FD" w:rsidRPr="00AF5581">
              <w:rPr>
                <w:sz w:val="22"/>
                <w:szCs w:val="22"/>
              </w:rPr>
              <w:t xml:space="preserve">ded the major convention event and the </w:t>
            </w:r>
            <w:r w:rsidR="00B12103">
              <w:rPr>
                <w:sz w:val="22"/>
                <w:szCs w:val="22"/>
              </w:rPr>
              <w:t>Missouri G</w:t>
            </w:r>
            <w:r w:rsidR="00F215FD" w:rsidRPr="00AF5581">
              <w:rPr>
                <w:sz w:val="22"/>
                <w:szCs w:val="22"/>
              </w:rPr>
              <w:t xml:space="preserve">eneral </w:t>
            </w:r>
            <w:r w:rsidR="00B12103">
              <w:rPr>
                <w:sz w:val="22"/>
                <w:szCs w:val="22"/>
              </w:rPr>
              <w:t>A</w:t>
            </w:r>
            <w:r w:rsidR="00F215FD" w:rsidRPr="00AF5581">
              <w:rPr>
                <w:sz w:val="22"/>
                <w:szCs w:val="22"/>
              </w:rPr>
              <w:t xml:space="preserve">ssembly has appropriated funds, </w:t>
            </w:r>
            <w:r w:rsidRPr="00AF5581">
              <w:rPr>
                <w:sz w:val="22"/>
                <w:szCs w:val="22"/>
              </w:rPr>
              <w:t>the DED will pay the approved grant amount to the eligible commission</w:t>
            </w:r>
            <w:r w:rsidR="00541D1D" w:rsidRPr="00AF5581">
              <w:rPr>
                <w:sz w:val="22"/>
                <w:szCs w:val="22"/>
              </w:rPr>
              <w:t>/DMO</w:t>
            </w:r>
            <w:r w:rsidRPr="00AF5581">
              <w:rPr>
                <w:sz w:val="22"/>
                <w:szCs w:val="22"/>
              </w:rPr>
              <w:t xml:space="preserve"> at the requested date.</w:t>
            </w:r>
            <w:r w:rsidR="00713C97">
              <w:rPr>
                <w:sz w:val="22"/>
                <w:szCs w:val="22"/>
              </w:rPr>
              <w:t xml:space="preserve"> </w:t>
            </w:r>
          </w:p>
        </w:tc>
      </w:tr>
      <w:tr w:rsidR="00AF5581" w:rsidTr="00E22F42">
        <w:tblPrEx>
          <w:tblBorders>
            <w:left w:val="single" w:sz="4" w:space="0" w:color="auto"/>
            <w:right w:val="single" w:sz="4" w:space="0" w:color="auto"/>
          </w:tblBorders>
          <w:tblLook w:val="0000"/>
        </w:tblPrEx>
        <w:trPr>
          <w:trHeight w:val="446"/>
          <w:jc w:val="center"/>
        </w:trPr>
        <w:tc>
          <w:tcPr>
            <w:tcW w:w="10908" w:type="dxa"/>
            <w:tcBorders>
              <w:left w:val="nil"/>
              <w:right w:val="nil"/>
            </w:tcBorders>
            <w:shd w:val="clear" w:color="auto" w:fill="auto"/>
            <w:vAlign w:val="center"/>
          </w:tcPr>
          <w:p w:rsidR="00AF5581" w:rsidRPr="00AF5581" w:rsidRDefault="00AF5581" w:rsidP="00B53BAB">
            <w:pPr>
              <w:spacing w:before="120" w:after="120"/>
              <w:ind w:left="403"/>
              <w:rPr>
                <w:sz w:val="22"/>
                <w:szCs w:val="22"/>
              </w:rPr>
            </w:pPr>
            <w:r w:rsidRPr="00AF5581">
              <w:rPr>
                <w:sz w:val="22"/>
                <w:szCs w:val="22"/>
              </w:rPr>
              <w:t xml:space="preserve">If the </w:t>
            </w:r>
            <w:r w:rsidR="00B12103">
              <w:rPr>
                <w:sz w:val="22"/>
                <w:szCs w:val="22"/>
              </w:rPr>
              <w:t>Missouri G</w:t>
            </w:r>
            <w:r w:rsidRPr="00AF5581">
              <w:rPr>
                <w:sz w:val="22"/>
                <w:szCs w:val="22"/>
              </w:rPr>
              <w:t xml:space="preserve">eneral </w:t>
            </w:r>
            <w:r w:rsidR="00B12103">
              <w:rPr>
                <w:sz w:val="22"/>
                <w:szCs w:val="22"/>
              </w:rPr>
              <w:t>A</w:t>
            </w:r>
            <w:r w:rsidRPr="00AF5581">
              <w:rPr>
                <w:sz w:val="22"/>
                <w:szCs w:val="22"/>
              </w:rPr>
              <w:t xml:space="preserve">ssembly does not appropriate funds to the </w:t>
            </w:r>
            <w:r w:rsidR="00B12103">
              <w:rPr>
                <w:sz w:val="22"/>
                <w:szCs w:val="22"/>
              </w:rPr>
              <w:t>Major Economic Convention Event in Missouri Fund</w:t>
            </w:r>
            <w:r w:rsidRPr="00AF5581">
              <w:rPr>
                <w:sz w:val="22"/>
                <w:szCs w:val="22"/>
              </w:rPr>
              <w:t>, the DED will not disburse funds.</w:t>
            </w:r>
          </w:p>
        </w:tc>
      </w:tr>
      <w:tr w:rsidR="00AF5581" w:rsidTr="00E22F42">
        <w:tblPrEx>
          <w:tblBorders>
            <w:left w:val="single" w:sz="4" w:space="0" w:color="auto"/>
            <w:right w:val="single" w:sz="4" w:space="0" w:color="auto"/>
          </w:tblBorders>
          <w:tblLook w:val="0000"/>
        </w:tblPrEx>
        <w:trPr>
          <w:trHeight w:val="446"/>
          <w:jc w:val="center"/>
        </w:trPr>
        <w:tc>
          <w:tcPr>
            <w:tcW w:w="10908" w:type="dxa"/>
            <w:tcBorders>
              <w:left w:val="nil"/>
              <w:right w:val="nil"/>
            </w:tcBorders>
            <w:shd w:val="clear" w:color="auto" w:fill="auto"/>
            <w:vAlign w:val="center"/>
          </w:tcPr>
          <w:p w:rsidR="00AF5581" w:rsidRPr="00AF5581" w:rsidRDefault="00AF5581" w:rsidP="00B53BAB">
            <w:pPr>
              <w:spacing w:before="120" w:after="120"/>
              <w:ind w:left="403"/>
              <w:rPr>
                <w:sz w:val="22"/>
                <w:szCs w:val="22"/>
              </w:rPr>
            </w:pPr>
            <w:r w:rsidRPr="00AF5581">
              <w:rPr>
                <w:sz w:val="22"/>
                <w:szCs w:val="22"/>
              </w:rPr>
              <w:t>If the commission/DMO is not awarded the major convention event, the DED will not disburse funds.</w:t>
            </w:r>
          </w:p>
        </w:tc>
      </w:tr>
      <w:tr w:rsidR="00AF5581" w:rsidTr="00E22F42">
        <w:tblPrEx>
          <w:tblBorders>
            <w:left w:val="single" w:sz="4" w:space="0" w:color="auto"/>
            <w:right w:val="single" w:sz="4" w:space="0" w:color="auto"/>
          </w:tblBorders>
          <w:tblLook w:val="0000"/>
        </w:tblPrEx>
        <w:trPr>
          <w:trHeight w:val="446"/>
          <w:jc w:val="center"/>
        </w:trPr>
        <w:tc>
          <w:tcPr>
            <w:tcW w:w="10908" w:type="dxa"/>
            <w:tcBorders>
              <w:left w:val="nil"/>
              <w:right w:val="nil"/>
            </w:tcBorders>
            <w:shd w:val="clear" w:color="auto" w:fill="auto"/>
            <w:vAlign w:val="center"/>
          </w:tcPr>
          <w:p w:rsidR="00AF5581" w:rsidRPr="00AF5581" w:rsidRDefault="00AF5581" w:rsidP="00B53BAB">
            <w:pPr>
              <w:spacing w:before="120" w:after="120"/>
              <w:ind w:left="403"/>
              <w:rPr>
                <w:sz w:val="22"/>
                <w:szCs w:val="22"/>
              </w:rPr>
            </w:pPr>
            <w:r w:rsidRPr="00AF5581">
              <w:rPr>
                <w:sz w:val="22"/>
                <w:szCs w:val="22"/>
              </w:rPr>
              <w:t xml:space="preserve">If the DED is not able to disperse funds on the requested date (ex. </w:t>
            </w:r>
            <w:r w:rsidR="00B12103">
              <w:rPr>
                <w:sz w:val="22"/>
                <w:szCs w:val="22"/>
              </w:rPr>
              <w:t>Missouri G</w:t>
            </w:r>
            <w:r w:rsidRPr="00AF5581">
              <w:rPr>
                <w:sz w:val="22"/>
                <w:szCs w:val="22"/>
              </w:rPr>
              <w:t xml:space="preserve">eneral </w:t>
            </w:r>
            <w:r w:rsidR="00B12103">
              <w:rPr>
                <w:sz w:val="22"/>
                <w:szCs w:val="22"/>
              </w:rPr>
              <w:t>A</w:t>
            </w:r>
            <w:r w:rsidRPr="00AF5581">
              <w:rPr>
                <w:sz w:val="22"/>
                <w:szCs w:val="22"/>
              </w:rPr>
              <w:t>ssembly has not appropriated funds yet), the application will stay in the queue until such time that the DED can disburse funds.</w:t>
            </w:r>
          </w:p>
        </w:tc>
      </w:tr>
      <w:tr w:rsidR="00AF5581" w:rsidTr="00E22F42">
        <w:tblPrEx>
          <w:tblBorders>
            <w:left w:val="single" w:sz="4" w:space="0" w:color="auto"/>
            <w:right w:val="single" w:sz="4" w:space="0" w:color="auto"/>
          </w:tblBorders>
          <w:tblLook w:val="0000"/>
        </w:tblPrEx>
        <w:trPr>
          <w:trHeight w:val="446"/>
          <w:jc w:val="center"/>
        </w:trPr>
        <w:tc>
          <w:tcPr>
            <w:tcW w:w="10908" w:type="dxa"/>
            <w:tcBorders>
              <w:left w:val="nil"/>
              <w:right w:val="nil"/>
            </w:tcBorders>
            <w:shd w:val="clear" w:color="auto" w:fill="auto"/>
            <w:vAlign w:val="center"/>
          </w:tcPr>
          <w:p w:rsidR="00AF5581" w:rsidRDefault="00AF5581" w:rsidP="00B53BAB">
            <w:pPr>
              <w:spacing w:before="120" w:after="120"/>
              <w:ind w:left="403"/>
              <w:rPr>
                <w:sz w:val="22"/>
                <w:szCs w:val="22"/>
              </w:rPr>
            </w:pPr>
            <w:r w:rsidRPr="00AF5581">
              <w:rPr>
                <w:sz w:val="22"/>
                <w:szCs w:val="22"/>
              </w:rPr>
              <w:t xml:space="preserve">If the DED awards more funds than what is appropriated by the </w:t>
            </w:r>
            <w:r w:rsidR="00B12103">
              <w:rPr>
                <w:sz w:val="22"/>
                <w:szCs w:val="22"/>
              </w:rPr>
              <w:t>Missouri G</w:t>
            </w:r>
            <w:r w:rsidRPr="00AF5581">
              <w:rPr>
                <w:sz w:val="22"/>
                <w:szCs w:val="22"/>
              </w:rPr>
              <w:t xml:space="preserve">eneral </w:t>
            </w:r>
            <w:r w:rsidR="00B12103">
              <w:rPr>
                <w:sz w:val="22"/>
                <w:szCs w:val="22"/>
              </w:rPr>
              <w:t>A</w:t>
            </w:r>
            <w:r w:rsidRPr="00AF5581">
              <w:rPr>
                <w:sz w:val="22"/>
                <w:szCs w:val="22"/>
              </w:rPr>
              <w:t xml:space="preserve">ssembly, the order that the application was </w:t>
            </w:r>
            <w:r w:rsidR="00935A4E">
              <w:rPr>
                <w:sz w:val="22"/>
                <w:szCs w:val="22"/>
              </w:rPr>
              <w:t>approved</w:t>
            </w:r>
            <w:r w:rsidRPr="00AF5581">
              <w:rPr>
                <w:sz w:val="22"/>
                <w:szCs w:val="22"/>
              </w:rPr>
              <w:t xml:space="preserve"> will determine which applications get a disbursement. Each application will get the full funding amount until funds run out. This may cause the last application funded to only receive partial funding. The next application in the queue will only receive funding if the</w:t>
            </w:r>
            <w:r w:rsidR="00B12103">
              <w:rPr>
                <w:sz w:val="22"/>
                <w:szCs w:val="22"/>
              </w:rPr>
              <w:t xml:space="preserve"> Missouri G</w:t>
            </w:r>
            <w:r w:rsidRPr="00AF5581">
              <w:rPr>
                <w:sz w:val="22"/>
                <w:szCs w:val="22"/>
              </w:rPr>
              <w:t xml:space="preserve">eneral </w:t>
            </w:r>
            <w:r w:rsidR="00B12103">
              <w:rPr>
                <w:sz w:val="22"/>
                <w:szCs w:val="22"/>
              </w:rPr>
              <w:t>A</w:t>
            </w:r>
            <w:r w:rsidRPr="00AF5581">
              <w:rPr>
                <w:sz w:val="22"/>
                <w:szCs w:val="22"/>
              </w:rPr>
              <w:t>ssembly appropriates funds for the next fiscal year.</w:t>
            </w:r>
          </w:p>
          <w:p w:rsidR="003C3705" w:rsidRPr="00AF5581" w:rsidRDefault="003C3705" w:rsidP="00B53BAB">
            <w:pPr>
              <w:spacing w:before="120" w:after="120"/>
              <w:ind w:left="403"/>
              <w:rPr>
                <w:sz w:val="22"/>
                <w:szCs w:val="22"/>
              </w:rPr>
            </w:pPr>
          </w:p>
        </w:tc>
      </w:tr>
      <w:tr w:rsidR="00AF5581" w:rsidTr="00905CE2">
        <w:tblPrEx>
          <w:tblBorders>
            <w:left w:val="single" w:sz="4" w:space="0" w:color="auto"/>
            <w:right w:val="single" w:sz="4" w:space="0" w:color="auto"/>
          </w:tblBorders>
          <w:tblLook w:val="0000"/>
        </w:tblPrEx>
        <w:trPr>
          <w:trHeight w:val="446"/>
          <w:jc w:val="center"/>
        </w:trPr>
        <w:tc>
          <w:tcPr>
            <w:tcW w:w="10908" w:type="dxa"/>
            <w:tcBorders>
              <w:top w:val="nil"/>
              <w:left w:val="nil"/>
              <w:right w:val="nil"/>
            </w:tcBorders>
            <w:shd w:val="clear" w:color="auto" w:fill="auto"/>
            <w:vAlign w:val="center"/>
          </w:tcPr>
          <w:p w:rsidR="00B53BAB" w:rsidRPr="00B53FC7" w:rsidRDefault="00AF5581" w:rsidP="00B53FC7">
            <w:pPr>
              <w:spacing w:before="120" w:after="120"/>
              <w:ind w:left="403"/>
              <w:contextualSpacing/>
              <w:rPr>
                <w:rFonts w:cs="Arial"/>
                <w:sz w:val="22"/>
                <w:szCs w:val="22"/>
              </w:rPr>
            </w:pPr>
            <w:r w:rsidRPr="00B53FC7">
              <w:rPr>
                <w:rFonts w:cs="Arial"/>
                <w:sz w:val="22"/>
                <w:szCs w:val="22"/>
              </w:rPr>
              <w:lastRenderedPageBreak/>
              <w:t xml:space="preserve">If funds in the </w:t>
            </w:r>
            <w:r w:rsidR="008848C3" w:rsidRPr="00B53FC7">
              <w:rPr>
                <w:rFonts w:cs="Arial"/>
                <w:sz w:val="22"/>
                <w:szCs w:val="22"/>
              </w:rPr>
              <w:t>Major Economic Convention Event in</w:t>
            </w:r>
            <w:r w:rsidRPr="00B53FC7">
              <w:rPr>
                <w:rFonts w:cs="Arial"/>
                <w:sz w:val="22"/>
                <w:szCs w:val="22"/>
              </w:rPr>
              <w:t xml:space="preserve"> Missouri Fund are not used in the same year they are </w:t>
            </w:r>
          </w:p>
          <w:p w:rsidR="00AF5581" w:rsidRPr="00AF5581" w:rsidRDefault="00AF5581" w:rsidP="00B53FC7">
            <w:pPr>
              <w:spacing w:before="120" w:after="120"/>
              <w:ind w:left="403"/>
              <w:rPr>
                <w:sz w:val="22"/>
                <w:szCs w:val="22"/>
              </w:rPr>
            </w:pPr>
            <w:proofErr w:type="gramStart"/>
            <w:r w:rsidRPr="00B53FC7">
              <w:rPr>
                <w:rFonts w:cs="Arial"/>
                <w:sz w:val="22"/>
                <w:szCs w:val="22"/>
              </w:rPr>
              <w:t>appropriated</w:t>
            </w:r>
            <w:proofErr w:type="gramEnd"/>
            <w:r w:rsidRPr="00B53FC7">
              <w:rPr>
                <w:rFonts w:cs="Arial"/>
                <w:sz w:val="22"/>
                <w:szCs w:val="22"/>
              </w:rPr>
              <w:t xml:space="preserve">, they will roll over to the next fiscal year. However, the DED will then need to request </w:t>
            </w:r>
            <w:r w:rsidR="00A346DC" w:rsidRPr="00B53FC7">
              <w:rPr>
                <w:rFonts w:cs="Arial"/>
                <w:sz w:val="22"/>
                <w:szCs w:val="22"/>
              </w:rPr>
              <w:t xml:space="preserve">the spending authority so </w:t>
            </w:r>
            <w:r w:rsidRPr="00B53FC7">
              <w:rPr>
                <w:rFonts w:cs="Arial"/>
                <w:sz w:val="22"/>
                <w:szCs w:val="22"/>
              </w:rPr>
              <w:t>those funds can be distributed – it is a request and not a guarantee.</w:t>
            </w:r>
          </w:p>
        </w:tc>
      </w:tr>
      <w:tr w:rsidR="00E22F42" w:rsidTr="00E22F42">
        <w:tblPrEx>
          <w:tblBorders>
            <w:left w:val="single" w:sz="4" w:space="0" w:color="auto"/>
            <w:right w:val="single" w:sz="4" w:space="0" w:color="auto"/>
          </w:tblBorders>
          <w:tblLook w:val="0000"/>
        </w:tblPrEx>
        <w:trPr>
          <w:trHeight w:val="446"/>
          <w:jc w:val="center"/>
        </w:trPr>
        <w:tc>
          <w:tcPr>
            <w:tcW w:w="10908" w:type="dxa"/>
            <w:tcBorders>
              <w:left w:val="nil"/>
              <w:right w:val="nil"/>
            </w:tcBorders>
            <w:shd w:val="clear" w:color="auto" w:fill="auto"/>
            <w:vAlign w:val="center"/>
          </w:tcPr>
          <w:p w:rsidR="00E22F42" w:rsidRPr="00AF6C67" w:rsidRDefault="00AF6C67" w:rsidP="00B53BAB">
            <w:pPr>
              <w:spacing w:before="120" w:after="120"/>
              <w:ind w:left="403"/>
              <w:rPr>
                <w:b/>
                <w:sz w:val="22"/>
                <w:szCs w:val="22"/>
              </w:rPr>
            </w:pPr>
            <w:r w:rsidRPr="00AF6C67">
              <w:rPr>
                <w:sz w:val="22"/>
                <w:szCs w:val="22"/>
              </w:rPr>
              <w:t>In order to receive funds, the eligible commission</w:t>
            </w:r>
            <w:r w:rsidR="00541D1D">
              <w:rPr>
                <w:sz w:val="22"/>
                <w:szCs w:val="22"/>
              </w:rPr>
              <w:t>/DMO</w:t>
            </w:r>
            <w:r w:rsidRPr="00AF6C67">
              <w:rPr>
                <w:sz w:val="22"/>
                <w:szCs w:val="22"/>
              </w:rPr>
              <w:t xml:space="preserve"> will be required to register as a vendor through the MissouriBUYS Statewide eProcurement System.</w:t>
            </w:r>
            <w:r w:rsidR="00935A4E">
              <w:rPr>
                <w:sz w:val="22"/>
                <w:szCs w:val="22"/>
              </w:rPr>
              <w:t xml:space="preserve"> The Major Economic Convention Event in Missouri funds must be separate and segregated from other funds; therefore, a separate account must be opened for this purpose</w:t>
            </w:r>
            <w:r w:rsidR="00935A4E" w:rsidRPr="00AF6C67">
              <w:rPr>
                <w:sz w:val="22"/>
                <w:szCs w:val="22"/>
              </w:rPr>
              <w:t>.</w:t>
            </w:r>
            <w:r w:rsidR="00935A4E">
              <w:rPr>
                <w:sz w:val="22"/>
                <w:szCs w:val="22"/>
              </w:rPr>
              <w:t xml:space="preserve"> All funds will be transferred electronically.</w:t>
            </w:r>
          </w:p>
        </w:tc>
      </w:tr>
      <w:tr w:rsidR="00E22F42" w:rsidTr="009C74CC">
        <w:tblPrEx>
          <w:tblBorders>
            <w:left w:val="single" w:sz="4" w:space="0" w:color="auto"/>
            <w:right w:val="single" w:sz="4" w:space="0" w:color="auto"/>
          </w:tblBorders>
          <w:tblLook w:val="0000"/>
        </w:tblPrEx>
        <w:trPr>
          <w:trHeight w:val="404"/>
          <w:jc w:val="center"/>
        </w:trPr>
        <w:tc>
          <w:tcPr>
            <w:tcW w:w="10908" w:type="dxa"/>
            <w:tcBorders>
              <w:left w:val="nil"/>
              <w:right w:val="nil"/>
            </w:tcBorders>
            <w:shd w:val="clear" w:color="auto" w:fill="auto"/>
            <w:vAlign w:val="center"/>
          </w:tcPr>
          <w:p w:rsidR="00E22F42" w:rsidRPr="00AF6C67" w:rsidRDefault="00AF6C67" w:rsidP="00B53BAB">
            <w:pPr>
              <w:spacing w:before="120" w:after="120"/>
              <w:ind w:left="403"/>
              <w:rPr>
                <w:b/>
                <w:sz w:val="22"/>
                <w:szCs w:val="22"/>
              </w:rPr>
            </w:pPr>
            <w:r w:rsidRPr="00AF6C67">
              <w:rPr>
                <w:sz w:val="22"/>
                <w:szCs w:val="22"/>
              </w:rPr>
              <w:t>In order to receive funds, the eligible commission</w:t>
            </w:r>
            <w:r w:rsidR="00541D1D">
              <w:rPr>
                <w:sz w:val="22"/>
                <w:szCs w:val="22"/>
              </w:rPr>
              <w:t>/DMO</w:t>
            </w:r>
            <w:r w:rsidRPr="00AF6C67">
              <w:rPr>
                <w:sz w:val="22"/>
                <w:szCs w:val="22"/>
              </w:rPr>
              <w:t xml:space="preserve"> will be required to meet all E-Verify requirements.</w:t>
            </w:r>
          </w:p>
        </w:tc>
      </w:tr>
      <w:tr w:rsidR="00E22F42" w:rsidTr="009C74CC">
        <w:tblPrEx>
          <w:tblBorders>
            <w:left w:val="single" w:sz="4" w:space="0" w:color="auto"/>
            <w:right w:val="single" w:sz="4" w:space="0" w:color="auto"/>
          </w:tblBorders>
          <w:tblLook w:val="0000"/>
        </w:tblPrEx>
        <w:trPr>
          <w:trHeight w:val="476"/>
          <w:jc w:val="center"/>
        </w:trPr>
        <w:tc>
          <w:tcPr>
            <w:tcW w:w="10908" w:type="dxa"/>
            <w:tcBorders>
              <w:left w:val="nil"/>
              <w:right w:val="nil"/>
            </w:tcBorders>
            <w:shd w:val="clear" w:color="auto" w:fill="auto"/>
            <w:vAlign w:val="center"/>
          </w:tcPr>
          <w:p w:rsidR="00E22F42" w:rsidRPr="00AF6C67" w:rsidRDefault="00AF6C67" w:rsidP="00B53BAB">
            <w:pPr>
              <w:spacing w:before="120" w:after="120"/>
              <w:ind w:left="403"/>
              <w:rPr>
                <w:b/>
                <w:sz w:val="22"/>
                <w:szCs w:val="22"/>
              </w:rPr>
            </w:pPr>
            <w:r w:rsidRPr="00AF6C67">
              <w:rPr>
                <w:sz w:val="22"/>
                <w:szCs w:val="22"/>
              </w:rPr>
              <w:t xml:space="preserve">The </w:t>
            </w:r>
            <w:r w:rsidR="00935A4E">
              <w:rPr>
                <w:sz w:val="22"/>
                <w:szCs w:val="22"/>
              </w:rPr>
              <w:t xml:space="preserve">transfer of funds to the eligible commission/DMO shall be deposited </w:t>
            </w:r>
            <w:r w:rsidRPr="00AF6C67">
              <w:rPr>
                <w:sz w:val="22"/>
                <w:szCs w:val="22"/>
              </w:rPr>
              <w:t>in a separate, segregated account.</w:t>
            </w:r>
          </w:p>
        </w:tc>
      </w:tr>
      <w:tr w:rsidR="00E22F42" w:rsidTr="00E22F42">
        <w:tblPrEx>
          <w:tblBorders>
            <w:left w:val="single" w:sz="4" w:space="0" w:color="auto"/>
            <w:right w:val="single" w:sz="4" w:space="0" w:color="auto"/>
          </w:tblBorders>
          <w:tblLook w:val="0000"/>
        </w:tblPrEx>
        <w:trPr>
          <w:trHeight w:val="446"/>
          <w:jc w:val="center"/>
        </w:trPr>
        <w:tc>
          <w:tcPr>
            <w:tcW w:w="10908" w:type="dxa"/>
            <w:tcBorders>
              <w:left w:val="nil"/>
              <w:right w:val="nil"/>
            </w:tcBorders>
            <w:shd w:val="clear" w:color="auto" w:fill="auto"/>
            <w:vAlign w:val="center"/>
          </w:tcPr>
          <w:p w:rsidR="00E22F42" w:rsidRPr="00AF6C67" w:rsidRDefault="00AF6C67" w:rsidP="00B53BAB">
            <w:pPr>
              <w:spacing w:before="120" w:after="120"/>
              <w:ind w:left="403"/>
              <w:rPr>
                <w:b/>
                <w:sz w:val="22"/>
                <w:szCs w:val="22"/>
              </w:rPr>
            </w:pPr>
            <w:r w:rsidRPr="00AF6C67">
              <w:rPr>
                <w:sz w:val="22"/>
                <w:szCs w:val="22"/>
              </w:rPr>
              <w:t>The eligible commission</w:t>
            </w:r>
            <w:r w:rsidR="00541D1D">
              <w:rPr>
                <w:sz w:val="22"/>
                <w:szCs w:val="22"/>
              </w:rPr>
              <w:t>/DMO</w:t>
            </w:r>
            <w:r w:rsidRPr="00AF6C67">
              <w:rPr>
                <w:sz w:val="22"/>
                <w:szCs w:val="22"/>
              </w:rPr>
              <w:t xml:space="preserve"> shall agree to hold the funds until the major convention event has occurred and not disburse the funds until the required report has been submitted and approved by the DED.</w:t>
            </w:r>
            <w:r w:rsidR="00A346DC">
              <w:rPr>
                <w:sz w:val="22"/>
                <w:szCs w:val="22"/>
              </w:rPr>
              <w:t xml:space="preserve"> The commission/DMO will receive a notification letter from the DED releasing the funds.</w:t>
            </w:r>
          </w:p>
        </w:tc>
      </w:tr>
      <w:tr w:rsidR="00E22F42" w:rsidTr="00E22F42">
        <w:tblPrEx>
          <w:tblBorders>
            <w:left w:val="single" w:sz="4" w:space="0" w:color="auto"/>
            <w:right w:val="single" w:sz="4" w:space="0" w:color="auto"/>
          </w:tblBorders>
          <w:tblLook w:val="0000"/>
        </w:tblPrEx>
        <w:trPr>
          <w:trHeight w:val="446"/>
          <w:jc w:val="center"/>
        </w:trPr>
        <w:tc>
          <w:tcPr>
            <w:tcW w:w="10908" w:type="dxa"/>
            <w:tcBorders>
              <w:left w:val="nil"/>
              <w:right w:val="nil"/>
            </w:tcBorders>
            <w:shd w:val="clear" w:color="auto" w:fill="auto"/>
            <w:vAlign w:val="center"/>
          </w:tcPr>
          <w:p w:rsidR="00E22F42" w:rsidRPr="00AF6C67" w:rsidRDefault="00AF6C67" w:rsidP="00B53BAB">
            <w:pPr>
              <w:spacing w:before="120" w:after="120"/>
              <w:ind w:left="403"/>
              <w:rPr>
                <w:b/>
                <w:sz w:val="22"/>
                <w:szCs w:val="22"/>
              </w:rPr>
            </w:pPr>
            <w:r w:rsidRPr="00AF6C67">
              <w:rPr>
                <w:sz w:val="22"/>
                <w:szCs w:val="22"/>
              </w:rPr>
              <w:t xml:space="preserve">The DED will send a </w:t>
            </w:r>
            <w:r w:rsidR="00B05C9E">
              <w:rPr>
                <w:sz w:val="22"/>
                <w:szCs w:val="22"/>
              </w:rPr>
              <w:t>R</w:t>
            </w:r>
            <w:r w:rsidRPr="00AF6C67">
              <w:rPr>
                <w:sz w:val="22"/>
                <w:szCs w:val="22"/>
              </w:rPr>
              <w:t xml:space="preserve">elease of </w:t>
            </w:r>
            <w:r w:rsidR="00B05C9E">
              <w:rPr>
                <w:sz w:val="22"/>
                <w:szCs w:val="22"/>
              </w:rPr>
              <w:t>F</w:t>
            </w:r>
            <w:r w:rsidRPr="00AF6C67">
              <w:rPr>
                <w:sz w:val="22"/>
                <w:szCs w:val="22"/>
              </w:rPr>
              <w:t xml:space="preserve">unds </w:t>
            </w:r>
            <w:r w:rsidR="00B05C9E">
              <w:rPr>
                <w:sz w:val="22"/>
                <w:szCs w:val="22"/>
              </w:rPr>
              <w:t>Letter</w:t>
            </w:r>
            <w:r w:rsidRPr="00AF6C67">
              <w:rPr>
                <w:sz w:val="22"/>
                <w:szCs w:val="22"/>
              </w:rPr>
              <w:t xml:space="preserve"> to inform the eligible commission</w:t>
            </w:r>
            <w:r w:rsidR="00541D1D">
              <w:rPr>
                <w:sz w:val="22"/>
                <w:szCs w:val="22"/>
              </w:rPr>
              <w:t>/DMO</w:t>
            </w:r>
            <w:r w:rsidRPr="00AF6C67">
              <w:rPr>
                <w:sz w:val="22"/>
                <w:szCs w:val="22"/>
              </w:rPr>
              <w:t xml:space="preserve"> that the required report has been received and approved.</w:t>
            </w:r>
          </w:p>
        </w:tc>
      </w:tr>
      <w:tr w:rsidR="00E22F42" w:rsidTr="00E22F42">
        <w:tblPrEx>
          <w:tblBorders>
            <w:left w:val="single" w:sz="4" w:space="0" w:color="auto"/>
            <w:right w:val="single" w:sz="4" w:space="0" w:color="auto"/>
          </w:tblBorders>
          <w:tblLook w:val="0000"/>
        </w:tblPrEx>
        <w:trPr>
          <w:trHeight w:val="446"/>
          <w:jc w:val="center"/>
        </w:trPr>
        <w:tc>
          <w:tcPr>
            <w:tcW w:w="10908" w:type="dxa"/>
            <w:tcBorders>
              <w:left w:val="nil"/>
              <w:right w:val="nil"/>
            </w:tcBorders>
            <w:shd w:val="clear" w:color="auto" w:fill="auto"/>
            <w:vAlign w:val="center"/>
          </w:tcPr>
          <w:p w:rsidR="00353BB1" w:rsidRPr="00BB5B08" w:rsidRDefault="00AF6C67" w:rsidP="00B53BAB">
            <w:pPr>
              <w:spacing w:before="120" w:after="120"/>
              <w:ind w:left="403"/>
              <w:rPr>
                <w:sz w:val="22"/>
                <w:szCs w:val="22"/>
              </w:rPr>
            </w:pPr>
            <w:r w:rsidRPr="00AF6C67">
              <w:rPr>
                <w:sz w:val="22"/>
                <w:szCs w:val="22"/>
              </w:rPr>
              <w:t>Once the eligible commission</w:t>
            </w:r>
            <w:r w:rsidR="00541D1D">
              <w:rPr>
                <w:sz w:val="22"/>
                <w:szCs w:val="22"/>
              </w:rPr>
              <w:t>/DMO</w:t>
            </w:r>
            <w:r w:rsidRPr="00AF6C67">
              <w:rPr>
                <w:sz w:val="22"/>
                <w:szCs w:val="22"/>
              </w:rPr>
              <w:t xml:space="preserve"> receives the </w:t>
            </w:r>
            <w:r w:rsidR="00B05C9E">
              <w:rPr>
                <w:sz w:val="22"/>
                <w:szCs w:val="22"/>
              </w:rPr>
              <w:t>R</w:t>
            </w:r>
            <w:r w:rsidRPr="00AF6C67">
              <w:rPr>
                <w:sz w:val="22"/>
                <w:szCs w:val="22"/>
              </w:rPr>
              <w:t xml:space="preserve">elease of </w:t>
            </w:r>
            <w:r w:rsidR="00B05C9E">
              <w:rPr>
                <w:sz w:val="22"/>
                <w:szCs w:val="22"/>
              </w:rPr>
              <w:t>F</w:t>
            </w:r>
            <w:r w:rsidRPr="00AF6C67">
              <w:rPr>
                <w:sz w:val="22"/>
                <w:szCs w:val="22"/>
              </w:rPr>
              <w:t xml:space="preserve">unds </w:t>
            </w:r>
            <w:r w:rsidR="00B05C9E">
              <w:rPr>
                <w:sz w:val="22"/>
                <w:szCs w:val="22"/>
              </w:rPr>
              <w:t>Letter</w:t>
            </w:r>
            <w:r w:rsidRPr="00AF6C67">
              <w:rPr>
                <w:sz w:val="22"/>
                <w:szCs w:val="22"/>
              </w:rPr>
              <w:t>, the eligible commission</w:t>
            </w:r>
            <w:r w:rsidR="00541D1D">
              <w:rPr>
                <w:sz w:val="22"/>
                <w:szCs w:val="22"/>
              </w:rPr>
              <w:t>/DMO</w:t>
            </w:r>
            <w:r w:rsidRPr="00AF6C67">
              <w:rPr>
                <w:sz w:val="22"/>
                <w:szCs w:val="22"/>
              </w:rPr>
              <w:t xml:space="preserve"> may disburse the funds</w:t>
            </w:r>
            <w:r w:rsidR="00B05C9E">
              <w:rPr>
                <w:sz w:val="22"/>
                <w:szCs w:val="22"/>
              </w:rPr>
              <w:t xml:space="preserve"> and refund the Meet in Missouri Fund if appropriate.</w:t>
            </w:r>
          </w:p>
        </w:tc>
      </w:tr>
      <w:tr w:rsidR="00E22F42" w:rsidTr="009C74CC">
        <w:tblPrEx>
          <w:tblBorders>
            <w:left w:val="single" w:sz="4" w:space="0" w:color="auto"/>
            <w:right w:val="single" w:sz="4" w:space="0" w:color="auto"/>
          </w:tblBorders>
          <w:tblLook w:val="0000"/>
        </w:tblPrEx>
        <w:trPr>
          <w:trHeight w:val="332"/>
          <w:jc w:val="center"/>
        </w:trPr>
        <w:tc>
          <w:tcPr>
            <w:tcW w:w="10908" w:type="dxa"/>
            <w:tcBorders>
              <w:left w:val="nil"/>
              <w:right w:val="nil"/>
            </w:tcBorders>
            <w:shd w:val="clear" w:color="auto" w:fill="B8CCE4"/>
            <w:vAlign w:val="center"/>
          </w:tcPr>
          <w:p w:rsidR="00E22F42" w:rsidRDefault="00E22F42" w:rsidP="00B53BAB">
            <w:pPr>
              <w:spacing w:before="120" w:after="120"/>
              <w:ind w:left="396" w:hanging="360"/>
              <w:rPr>
                <w:b/>
                <w:sz w:val="22"/>
              </w:rPr>
            </w:pPr>
            <w:r>
              <w:rPr>
                <w:b/>
                <w:sz w:val="22"/>
              </w:rPr>
              <w:t>REPORTING REQUIREMENTS:</w:t>
            </w:r>
          </w:p>
        </w:tc>
      </w:tr>
      <w:tr w:rsidR="00E22F42" w:rsidTr="00961681">
        <w:tblPrEx>
          <w:tblBorders>
            <w:left w:val="single" w:sz="4" w:space="0" w:color="auto"/>
            <w:right w:val="single" w:sz="4" w:space="0" w:color="auto"/>
          </w:tblBorders>
          <w:tblLook w:val="0000"/>
        </w:tblPrEx>
        <w:trPr>
          <w:trHeight w:val="6697"/>
          <w:jc w:val="center"/>
        </w:trPr>
        <w:tc>
          <w:tcPr>
            <w:tcW w:w="10908" w:type="dxa"/>
            <w:tcBorders>
              <w:top w:val="single" w:sz="4" w:space="0" w:color="auto"/>
              <w:left w:val="nil"/>
              <w:bottom w:val="single" w:sz="2" w:space="0" w:color="FFFFFF" w:themeColor="background1"/>
              <w:right w:val="nil"/>
            </w:tcBorders>
            <w:shd w:val="clear" w:color="auto" w:fill="auto"/>
            <w:vAlign w:val="center"/>
          </w:tcPr>
          <w:p w:rsidR="00E22F42" w:rsidRPr="00AF6C67" w:rsidRDefault="00AF6C67" w:rsidP="00B53BAB">
            <w:pPr>
              <w:spacing w:before="120" w:after="120"/>
              <w:ind w:left="396"/>
              <w:rPr>
                <w:sz w:val="22"/>
                <w:szCs w:val="22"/>
              </w:rPr>
            </w:pPr>
            <w:r w:rsidRPr="00AF6C67">
              <w:rPr>
                <w:sz w:val="22"/>
                <w:szCs w:val="22"/>
              </w:rPr>
              <w:t>Within 180 days of the major convention event, eligible commission</w:t>
            </w:r>
            <w:r w:rsidR="00541D1D">
              <w:rPr>
                <w:sz w:val="22"/>
                <w:szCs w:val="22"/>
              </w:rPr>
              <w:t>/DMO</w:t>
            </w:r>
            <w:r w:rsidRPr="00AF6C67">
              <w:rPr>
                <w:sz w:val="22"/>
                <w:szCs w:val="22"/>
              </w:rPr>
              <w:t xml:space="preserve"> shall provide a written report to the DED detailing the final amount of eligible major convention event costs incurred and actual attendance figures. The written report shall contain the following:</w:t>
            </w:r>
          </w:p>
          <w:p w:rsidR="00FC0194" w:rsidRDefault="00FC0194" w:rsidP="00B53BAB">
            <w:pPr>
              <w:numPr>
                <w:ilvl w:val="1"/>
                <w:numId w:val="7"/>
              </w:numPr>
              <w:spacing w:before="120" w:after="120"/>
              <w:rPr>
                <w:sz w:val="22"/>
                <w:szCs w:val="22"/>
              </w:rPr>
            </w:pPr>
            <w:r>
              <w:rPr>
                <w:sz w:val="22"/>
                <w:szCs w:val="22"/>
              </w:rPr>
              <w:t>Applicant Event Budget – Exhibit I (updated with ‘Actual’ numbers)</w:t>
            </w:r>
          </w:p>
          <w:p w:rsidR="003A05F9" w:rsidRDefault="003A05F9" w:rsidP="00B53BAB">
            <w:pPr>
              <w:numPr>
                <w:ilvl w:val="1"/>
                <w:numId w:val="7"/>
              </w:numPr>
              <w:spacing w:before="120" w:after="120"/>
              <w:rPr>
                <w:sz w:val="22"/>
                <w:szCs w:val="22"/>
              </w:rPr>
            </w:pPr>
            <w:r>
              <w:rPr>
                <w:sz w:val="22"/>
                <w:szCs w:val="22"/>
              </w:rPr>
              <w:t>Evidence that the Major Economic Event in Missouri Fund award was deposited into and remains in a separate, segregated account.</w:t>
            </w:r>
          </w:p>
          <w:p w:rsidR="00AF6C67" w:rsidRPr="00AF6C67" w:rsidRDefault="00A346DC" w:rsidP="00B53BAB">
            <w:pPr>
              <w:numPr>
                <w:ilvl w:val="1"/>
                <w:numId w:val="7"/>
              </w:numPr>
              <w:spacing w:before="120" w:after="120"/>
              <w:rPr>
                <w:sz w:val="22"/>
                <w:szCs w:val="22"/>
              </w:rPr>
            </w:pPr>
            <w:r>
              <w:rPr>
                <w:sz w:val="22"/>
                <w:szCs w:val="22"/>
              </w:rPr>
              <w:t>Proof</w:t>
            </w:r>
            <w:r w:rsidR="00AF6C67" w:rsidRPr="00AF6C67">
              <w:rPr>
                <w:sz w:val="22"/>
                <w:szCs w:val="22"/>
              </w:rPr>
              <w:t xml:space="preserve"> of eligible costs in the form of invoices and proof of payment.</w:t>
            </w:r>
          </w:p>
          <w:p w:rsidR="00AF6C67" w:rsidRDefault="00AF6C67" w:rsidP="00B53BAB">
            <w:pPr>
              <w:numPr>
                <w:ilvl w:val="1"/>
                <w:numId w:val="7"/>
              </w:numPr>
              <w:spacing w:before="120" w:after="120"/>
              <w:rPr>
                <w:sz w:val="22"/>
                <w:szCs w:val="22"/>
              </w:rPr>
            </w:pPr>
            <w:r w:rsidRPr="00AF6C67">
              <w:rPr>
                <w:sz w:val="22"/>
                <w:szCs w:val="22"/>
              </w:rPr>
              <w:t>The total number of sleeping room nights occupied due to the major convention event.</w:t>
            </w:r>
          </w:p>
          <w:p w:rsidR="0043701F" w:rsidRDefault="0043701F" w:rsidP="00B53BAB">
            <w:pPr>
              <w:numPr>
                <w:ilvl w:val="2"/>
                <w:numId w:val="7"/>
              </w:numPr>
              <w:spacing w:before="120" w:after="120"/>
              <w:rPr>
                <w:sz w:val="22"/>
                <w:szCs w:val="22"/>
              </w:rPr>
            </w:pPr>
            <w:r>
              <w:rPr>
                <w:sz w:val="22"/>
                <w:szCs w:val="22"/>
              </w:rPr>
              <w:t>The planning organization will attest to the total actual number of hotel room nights and/or provide reports (ex. pick-up report, housing report) to confirm hotel rooms.</w:t>
            </w:r>
          </w:p>
          <w:p w:rsidR="00DF6540" w:rsidRDefault="00DF6540" w:rsidP="00B53BAB">
            <w:pPr>
              <w:numPr>
                <w:ilvl w:val="1"/>
                <w:numId w:val="7"/>
              </w:numPr>
              <w:spacing w:before="120" w:after="120"/>
              <w:rPr>
                <w:sz w:val="22"/>
                <w:szCs w:val="22"/>
              </w:rPr>
            </w:pPr>
            <w:r>
              <w:rPr>
                <w:sz w:val="22"/>
                <w:szCs w:val="22"/>
              </w:rPr>
              <w:t>The total number of attendees.</w:t>
            </w:r>
          </w:p>
          <w:p w:rsidR="00AF5581" w:rsidRDefault="00AF5581" w:rsidP="00B53BAB">
            <w:pPr>
              <w:numPr>
                <w:ilvl w:val="2"/>
                <w:numId w:val="7"/>
              </w:numPr>
              <w:spacing w:before="120" w:after="120"/>
              <w:rPr>
                <w:sz w:val="22"/>
                <w:szCs w:val="22"/>
              </w:rPr>
            </w:pPr>
            <w:r>
              <w:rPr>
                <w:sz w:val="22"/>
                <w:szCs w:val="22"/>
              </w:rPr>
              <w:t>The planning organization will attest to the total actual number of attendees</w:t>
            </w:r>
            <w:r w:rsidR="0043701F">
              <w:rPr>
                <w:sz w:val="22"/>
                <w:szCs w:val="22"/>
              </w:rPr>
              <w:t xml:space="preserve"> and/or provide reports (ex. attendee registration list) to confirm attendees</w:t>
            </w:r>
            <w:r>
              <w:rPr>
                <w:sz w:val="22"/>
                <w:szCs w:val="22"/>
              </w:rPr>
              <w:t>.</w:t>
            </w:r>
          </w:p>
          <w:p w:rsidR="00AF6C67" w:rsidRDefault="00DF6540" w:rsidP="00B53BAB">
            <w:pPr>
              <w:numPr>
                <w:ilvl w:val="1"/>
                <w:numId w:val="7"/>
              </w:numPr>
              <w:spacing w:before="120" w:after="120"/>
              <w:rPr>
                <w:sz w:val="22"/>
                <w:szCs w:val="22"/>
              </w:rPr>
            </w:pPr>
            <w:r>
              <w:rPr>
                <w:sz w:val="22"/>
                <w:szCs w:val="22"/>
              </w:rPr>
              <w:t>The total number of out-of-state attendees</w:t>
            </w:r>
            <w:r w:rsidR="00AF6C67" w:rsidRPr="00AF6C67">
              <w:rPr>
                <w:sz w:val="22"/>
                <w:szCs w:val="22"/>
              </w:rPr>
              <w:t>.</w:t>
            </w:r>
            <w:r>
              <w:rPr>
                <w:sz w:val="22"/>
                <w:szCs w:val="22"/>
              </w:rPr>
              <w:t xml:space="preserve"> A presumption is made that out-of-state attendees require overnight hotel accommodations.</w:t>
            </w:r>
          </w:p>
          <w:p w:rsidR="00DF6540" w:rsidRDefault="00AF5581" w:rsidP="00B53BAB">
            <w:pPr>
              <w:numPr>
                <w:ilvl w:val="2"/>
                <w:numId w:val="7"/>
              </w:numPr>
              <w:spacing w:before="120" w:after="120"/>
              <w:rPr>
                <w:sz w:val="22"/>
                <w:szCs w:val="22"/>
              </w:rPr>
            </w:pPr>
            <w:r>
              <w:rPr>
                <w:sz w:val="22"/>
                <w:szCs w:val="22"/>
              </w:rPr>
              <w:t>The planning organization will attest to the total actual number of out-of-state attendees</w:t>
            </w:r>
            <w:r w:rsidR="00A346DC">
              <w:rPr>
                <w:sz w:val="22"/>
                <w:szCs w:val="22"/>
              </w:rPr>
              <w:t xml:space="preserve"> and/</w:t>
            </w:r>
            <w:r w:rsidR="0043701F">
              <w:rPr>
                <w:sz w:val="22"/>
                <w:szCs w:val="22"/>
              </w:rPr>
              <w:t>or provide information to confirm out-of-state attendee attendance</w:t>
            </w:r>
            <w:r>
              <w:rPr>
                <w:sz w:val="22"/>
                <w:szCs w:val="22"/>
              </w:rPr>
              <w:t>.</w:t>
            </w:r>
          </w:p>
          <w:p w:rsidR="003A05F9" w:rsidRDefault="003A05F9" w:rsidP="00B53BAB">
            <w:pPr>
              <w:numPr>
                <w:ilvl w:val="1"/>
                <w:numId w:val="7"/>
              </w:numPr>
              <w:spacing w:before="120" w:after="120"/>
              <w:rPr>
                <w:sz w:val="22"/>
                <w:szCs w:val="22"/>
              </w:rPr>
            </w:pPr>
            <w:r>
              <w:rPr>
                <w:sz w:val="22"/>
                <w:szCs w:val="22"/>
              </w:rPr>
              <w:t>Information demonstrating the actual economic benefit to the State of Missouri (DMAI E</w:t>
            </w:r>
            <w:r w:rsidR="00D3657E">
              <w:rPr>
                <w:sz w:val="22"/>
                <w:szCs w:val="22"/>
              </w:rPr>
              <w:t>vent</w:t>
            </w:r>
            <w:r>
              <w:rPr>
                <w:sz w:val="22"/>
                <w:szCs w:val="22"/>
              </w:rPr>
              <w:t xml:space="preserve"> Impact Calculator report).</w:t>
            </w:r>
          </w:p>
          <w:p w:rsidR="009C74CC" w:rsidRPr="00FC0194" w:rsidRDefault="009C74CC" w:rsidP="00B53BAB">
            <w:pPr>
              <w:numPr>
                <w:ilvl w:val="2"/>
                <w:numId w:val="7"/>
              </w:numPr>
              <w:spacing w:before="120" w:after="120"/>
              <w:rPr>
                <w:sz w:val="22"/>
                <w:szCs w:val="22"/>
              </w:rPr>
            </w:pPr>
            <w:r>
              <w:rPr>
                <w:sz w:val="22"/>
                <w:szCs w:val="22"/>
              </w:rPr>
              <w:t xml:space="preserve">Upon conclusion of the event, the same form must be submitted to DMAI (for DMOs </w:t>
            </w:r>
          </w:p>
        </w:tc>
      </w:tr>
      <w:tr w:rsidR="00961681" w:rsidTr="00961681">
        <w:tblPrEx>
          <w:tblBorders>
            <w:left w:val="single" w:sz="4" w:space="0" w:color="auto"/>
            <w:right w:val="single" w:sz="4" w:space="0" w:color="auto"/>
          </w:tblBorders>
          <w:tblLook w:val="0000"/>
        </w:tblPrEx>
        <w:trPr>
          <w:trHeight w:val="1345"/>
          <w:jc w:val="center"/>
        </w:trPr>
        <w:tc>
          <w:tcPr>
            <w:tcW w:w="10908" w:type="dxa"/>
            <w:tcBorders>
              <w:top w:val="single" w:sz="2" w:space="0" w:color="FFFFFF" w:themeColor="background1"/>
              <w:left w:val="nil"/>
              <w:right w:val="nil"/>
            </w:tcBorders>
            <w:shd w:val="clear" w:color="auto" w:fill="auto"/>
            <w:vAlign w:val="center"/>
          </w:tcPr>
          <w:p w:rsidR="00961681" w:rsidRDefault="00961681" w:rsidP="00B53BAB">
            <w:pPr>
              <w:spacing w:before="120" w:after="120"/>
              <w:ind w:left="1836"/>
              <w:rPr>
                <w:sz w:val="22"/>
                <w:szCs w:val="22"/>
              </w:rPr>
            </w:pPr>
            <w:proofErr w:type="gramStart"/>
            <w:r>
              <w:rPr>
                <w:sz w:val="22"/>
                <w:szCs w:val="22"/>
              </w:rPr>
              <w:lastRenderedPageBreak/>
              <w:t>without</w:t>
            </w:r>
            <w:proofErr w:type="gramEnd"/>
            <w:r>
              <w:rPr>
                <w:sz w:val="22"/>
                <w:szCs w:val="22"/>
              </w:rPr>
              <w:t xml:space="preserve"> their own calculator</w:t>
            </w:r>
            <w:r w:rsidR="00B237AF">
              <w:rPr>
                <w:sz w:val="22"/>
                <w:szCs w:val="22"/>
              </w:rPr>
              <w:t xml:space="preserve"> subscription</w:t>
            </w:r>
            <w:r>
              <w:rPr>
                <w:sz w:val="22"/>
                <w:szCs w:val="22"/>
              </w:rPr>
              <w:t>) to determine the actual post-event Economic Impact. This is calculated for no additional fee.</w:t>
            </w:r>
          </w:p>
          <w:p w:rsidR="00961681" w:rsidRPr="00AF6C67" w:rsidRDefault="00961681" w:rsidP="00572472">
            <w:pPr>
              <w:numPr>
                <w:ilvl w:val="2"/>
                <w:numId w:val="7"/>
              </w:numPr>
              <w:spacing w:before="120" w:after="120"/>
              <w:rPr>
                <w:sz w:val="22"/>
                <w:szCs w:val="22"/>
              </w:rPr>
            </w:pPr>
            <w:r w:rsidRPr="00BF6E5C">
              <w:rPr>
                <w:sz w:val="22"/>
                <w:szCs w:val="22"/>
              </w:rPr>
              <w:t xml:space="preserve">DMAI will </w:t>
            </w:r>
            <w:r w:rsidR="00B237AF">
              <w:rPr>
                <w:sz w:val="22"/>
                <w:szCs w:val="22"/>
              </w:rPr>
              <w:t xml:space="preserve">generally </w:t>
            </w:r>
            <w:r w:rsidRPr="00BF6E5C">
              <w:rPr>
                <w:sz w:val="22"/>
                <w:szCs w:val="22"/>
              </w:rPr>
              <w:t xml:space="preserve">produce the report within </w:t>
            </w:r>
            <w:r w:rsidR="00572472">
              <w:rPr>
                <w:sz w:val="22"/>
                <w:szCs w:val="22"/>
              </w:rPr>
              <w:t>three</w:t>
            </w:r>
            <w:r w:rsidR="00B237AF">
              <w:rPr>
                <w:sz w:val="22"/>
                <w:szCs w:val="22"/>
              </w:rPr>
              <w:t xml:space="preserve"> to five</w:t>
            </w:r>
            <w:r w:rsidRPr="00BF6E5C">
              <w:rPr>
                <w:sz w:val="22"/>
                <w:szCs w:val="22"/>
              </w:rPr>
              <w:t xml:space="preserve"> business days of receiving the event data and </w:t>
            </w:r>
            <w:r>
              <w:rPr>
                <w:sz w:val="22"/>
                <w:szCs w:val="22"/>
              </w:rPr>
              <w:t>the PDF version of the report will be emailed to the DMO Applicant.</w:t>
            </w:r>
          </w:p>
        </w:tc>
      </w:tr>
      <w:tr w:rsidR="00F155CA" w:rsidTr="009C74CC">
        <w:tblPrEx>
          <w:tblBorders>
            <w:left w:val="single" w:sz="4" w:space="0" w:color="auto"/>
            <w:right w:val="single" w:sz="4" w:space="0" w:color="auto"/>
          </w:tblBorders>
          <w:tblLook w:val="0000"/>
        </w:tblPrEx>
        <w:trPr>
          <w:trHeight w:val="341"/>
          <w:jc w:val="center"/>
        </w:trPr>
        <w:tc>
          <w:tcPr>
            <w:tcW w:w="10908" w:type="dxa"/>
            <w:tcBorders>
              <w:left w:val="nil"/>
              <w:right w:val="nil"/>
            </w:tcBorders>
            <w:shd w:val="clear" w:color="auto" w:fill="auto"/>
            <w:vAlign w:val="center"/>
          </w:tcPr>
          <w:p w:rsidR="00353BB1" w:rsidRPr="00BB5B08" w:rsidRDefault="00F155CA" w:rsidP="00B53BAB">
            <w:pPr>
              <w:spacing w:before="120" w:after="120"/>
              <w:ind w:left="396"/>
              <w:rPr>
                <w:sz w:val="22"/>
              </w:rPr>
            </w:pPr>
            <w:r>
              <w:rPr>
                <w:sz w:val="22"/>
              </w:rPr>
              <w:t>The eligible commission/DMO agrees to refund 100% of funds if the reporting requirements are not met.</w:t>
            </w:r>
          </w:p>
        </w:tc>
      </w:tr>
      <w:tr w:rsidR="00E22F42" w:rsidTr="009C74CC">
        <w:tblPrEx>
          <w:tblBorders>
            <w:left w:val="single" w:sz="4" w:space="0" w:color="auto"/>
            <w:right w:val="single" w:sz="4" w:space="0" w:color="auto"/>
          </w:tblBorders>
          <w:tblLook w:val="0000"/>
        </w:tblPrEx>
        <w:trPr>
          <w:trHeight w:val="413"/>
          <w:jc w:val="center"/>
        </w:trPr>
        <w:tc>
          <w:tcPr>
            <w:tcW w:w="10908" w:type="dxa"/>
            <w:tcBorders>
              <w:left w:val="nil"/>
              <w:right w:val="nil"/>
            </w:tcBorders>
            <w:shd w:val="clear" w:color="auto" w:fill="B8CCE4"/>
            <w:vAlign w:val="center"/>
          </w:tcPr>
          <w:p w:rsidR="00E22F42" w:rsidRDefault="0081332A" w:rsidP="00B53BAB">
            <w:pPr>
              <w:spacing w:before="120" w:after="120"/>
              <w:ind w:left="396" w:hanging="360"/>
              <w:rPr>
                <w:b/>
                <w:sz w:val="22"/>
              </w:rPr>
            </w:pPr>
            <w:r>
              <w:rPr>
                <w:b/>
                <w:sz w:val="22"/>
              </w:rPr>
              <w:t>REFUND PROVISIONS:</w:t>
            </w:r>
          </w:p>
        </w:tc>
      </w:tr>
      <w:tr w:rsidR="0043701F" w:rsidTr="009C74CC">
        <w:tblPrEx>
          <w:tblBorders>
            <w:left w:val="single" w:sz="4" w:space="0" w:color="auto"/>
            <w:right w:val="single" w:sz="4" w:space="0" w:color="auto"/>
          </w:tblBorders>
          <w:tblLook w:val="0000"/>
        </w:tblPrEx>
        <w:trPr>
          <w:trHeight w:val="872"/>
          <w:jc w:val="center"/>
        </w:trPr>
        <w:tc>
          <w:tcPr>
            <w:tcW w:w="10908" w:type="dxa"/>
            <w:tcBorders>
              <w:left w:val="nil"/>
              <w:right w:val="nil"/>
            </w:tcBorders>
            <w:shd w:val="clear" w:color="auto" w:fill="auto"/>
            <w:vAlign w:val="center"/>
          </w:tcPr>
          <w:p w:rsidR="0043701F" w:rsidRPr="00AF6C67" w:rsidRDefault="0043701F" w:rsidP="00B53BAB">
            <w:pPr>
              <w:spacing w:before="120" w:after="120"/>
              <w:ind w:left="396"/>
              <w:rPr>
                <w:sz w:val="22"/>
                <w:szCs w:val="22"/>
              </w:rPr>
            </w:pPr>
            <w:r w:rsidRPr="00AF6C67">
              <w:rPr>
                <w:sz w:val="22"/>
                <w:szCs w:val="22"/>
              </w:rPr>
              <w:t>The eligible commission</w:t>
            </w:r>
            <w:r>
              <w:rPr>
                <w:sz w:val="22"/>
                <w:szCs w:val="22"/>
              </w:rPr>
              <w:t>/DMO</w:t>
            </w:r>
            <w:r w:rsidRPr="00AF6C67">
              <w:rPr>
                <w:sz w:val="22"/>
                <w:szCs w:val="22"/>
              </w:rPr>
              <w:t xml:space="preserve"> agrees to refund 100% of funds if information provided in the application or in the report detailing the final amount of eligible major convention costs incurred and actual attendance figures is found to be misrepresented.</w:t>
            </w:r>
          </w:p>
        </w:tc>
      </w:tr>
      <w:tr w:rsidR="0043701F" w:rsidTr="009C74CC">
        <w:tblPrEx>
          <w:tblBorders>
            <w:left w:val="single" w:sz="4" w:space="0" w:color="auto"/>
            <w:right w:val="single" w:sz="4" w:space="0" w:color="auto"/>
          </w:tblBorders>
          <w:tblLook w:val="0000"/>
        </w:tblPrEx>
        <w:trPr>
          <w:trHeight w:val="872"/>
          <w:jc w:val="center"/>
        </w:trPr>
        <w:tc>
          <w:tcPr>
            <w:tcW w:w="10908" w:type="dxa"/>
            <w:tcBorders>
              <w:left w:val="nil"/>
              <w:right w:val="nil"/>
            </w:tcBorders>
            <w:shd w:val="clear" w:color="auto" w:fill="auto"/>
            <w:vAlign w:val="center"/>
          </w:tcPr>
          <w:p w:rsidR="0043701F" w:rsidRPr="00AF6C67" w:rsidRDefault="0043701F" w:rsidP="00B53BAB">
            <w:pPr>
              <w:spacing w:before="120" w:after="120"/>
              <w:ind w:left="396"/>
              <w:rPr>
                <w:sz w:val="22"/>
                <w:szCs w:val="22"/>
              </w:rPr>
            </w:pPr>
            <w:r>
              <w:rPr>
                <w:sz w:val="22"/>
                <w:szCs w:val="22"/>
              </w:rPr>
              <w:t>The eligible commission/DMO agrees to refund 100% of funds if at the completion of the convention, the convention no longer meets the Major Economic Convention Event requirements or if the reporting requirements are not met.</w:t>
            </w:r>
          </w:p>
        </w:tc>
      </w:tr>
      <w:tr w:rsidR="00E22F42" w:rsidTr="00E22F42">
        <w:tblPrEx>
          <w:tblBorders>
            <w:left w:val="single" w:sz="4" w:space="0" w:color="auto"/>
            <w:right w:val="single" w:sz="4" w:space="0" w:color="auto"/>
          </w:tblBorders>
          <w:tblLook w:val="0000"/>
        </w:tblPrEx>
        <w:trPr>
          <w:trHeight w:val="446"/>
          <w:jc w:val="center"/>
        </w:trPr>
        <w:tc>
          <w:tcPr>
            <w:tcW w:w="10908" w:type="dxa"/>
            <w:tcBorders>
              <w:left w:val="nil"/>
              <w:right w:val="nil"/>
            </w:tcBorders>
            <w:shd w:val="clear" w:color="auto" w:fill="auto"/>
            <w:vAlign w:val="center"/>
          </w:tcPr>
          <w:p w:rsidR="00E22F42" w:rsidRPr="00AF6C67" w:rsidRDefault="00AF6C67" w:rsidP="00B53BAB">
            <w:pPr>
              <w:spacing w:before="120" w:after="120"/>
              <w:ind w:left="396"/>
              <w:rPr>
                <w:b/>
                <w:sz w:val="22"/>
                <w:szCs w:val="22"/>
              </w:rPr>
            </w:pPr>
            <w:r w:rsidRPr="00AF6C67">
              <w:rPr>
                <w:sz w:val="22"/>
                <w:szCs w:val="22"/>
              </w:rPr>
              <w:t>If the final amount of total eligible major convention event costs is less than the amount of the grant disbursed to the eligible commission</w:t>
            </w:r>
            <w:r w:rsidR="00541D1D">
              <w:rPr>
                <w:sz w:val="22"/>
                <w:szCs w:val="22"/>
              </w:rPr>
              <w:t>/DMO</w:t>
            </w:r>
            <w:r w:rsidRPr="00AF6C67">
              <w:rPr>
                <w:sz w:val="22"/>
                <w:szCs w:val="22"/>
              </w:rPr>
              <w:t>, the commission shall refund the excess greater than 50% of the actual cost.</w:t>
            </w:r>
            <w:r w:rsidR="003A05F9">
              <w:rPr>
                <w:sz w:val="22"/>
                <w:szCs w:val="22"/>
              </w:rPr>
              <w:t xml:space="preserve"> This amount may exceed</w:t>
            </w:r>
            <w:r w:rsidR="00A64511">
              <w:rPr>
                <w:sz w:val="22"/>
                <w:szCs w:val="22"/>
              </w:rPr>
              <w:t xml:space="preserve"> the excess of the grant that the commission/DMO did not spend and should be taken into account when applying for the grant.</w:t>
            </w:r>
          </w:p>
        </w:tc>
      </w:tr>
      <w:tr w:rsidR="00E22F42" w:rsidTr="009C74CC">
        <w:tblPrEx>
          <w:tblBorders>
            <w:left w:val="single" w:sz="4" w:space="0" w:color="auto"/>
            <w:right w:val="single" w:sz="4" w:space="0" w:color="auto"/>
          </w:tblBorders>
          <w:tblLook w:val="0000"/>
        </w:tblPrEx>
        <w:trPr>
          <w:trHeight w:val="260"/>
          <w:jc w:val="center"/>
        </w:trPr>
        <w:tc>
          <w:tcPr>
            <w:tcW w:w="10908" w:type="dxa"/>
            <w:tcBorders>
              <w:left w:val="nil"/>
              <w:right w:val="nil"/>
            </w:tcBorders>
            <w:shd w:val="clear" w:color="auto" w:fill="auto"/>
            <w:vAlign w:val="center"/>
          </w:tcPr>
          <w:p w:rsidR="00E22F42" w:rsidRPr="00AF6C67" w:rsidRDefault="00AF6C67" w:rsidP="00B53BAB">
            <w:pPr>
              <w:spacing w:before="120" w:after="120"/>
              <w:ind w:left="396"/>
              <w:rPr>
                <w:b/>
                <w:sz w:val="22"/>
                <w:szCs w:val="22"/>
              </w:rPr>
            </w:pPr>
            <w:r w:rsidRPr="00AF6C67">
              <w:rPr>
                <w:sz w:val="22"/>
                <w:szCs w:val="22"/>
              </w:rPr>
              <w:t>The eligible commission</w:t>
            </w:r>
            <w:r w:rsidR="00541D1D">
              <w:rPr>
                <w:sz w:val="22"/>
                <w:szCs w:val="22"/>
              </w:rPr>
              <w:t>/DMO</w:t>
            </w:r>
            <w:r w:rsidRPr="00AF6C67">
              <w:rPr>
                <w:sz w:val="22"/>
                <w:szCs w:val="22"/>
              </w:rPr>
              <w:t xml:space="preserve"> shall refund the following amounts to the state based on the actual attendance figures in relation to the projected total attendance for the event:</w:t>
            </w:r>
          </w:p>
          <w:p w:rsidR="00AF6C67" w:rsidRPr="00AF6C67" w:rsidRDefault="00AF6C67" w:rsidP="00B53BAB">
            <w:pPr>
              <w:numPr>
                <w:ilvl w:val="1"/>
                <w:numId w:val="8"/>
              </w:numPr>
              <w:spacing w:before="120" w:after="120"/>
              <w:rPr>
                <w:b/>
                <w:sz w:val="22"/>
                <w:szCs w:val="22"/>
              </w:rPr>
            </w:pPr>
            <w:r w:rsidRPr="00AF6C67">
              <w:rPr>
                <w:sz w:val="22"/>
                <w:szCs w:val="22"/>
              </w:rPr>
              <w:t>If the actual attendance is less than 25% of the projected total attendance, the commission</w:t>
            </w:r>
            <w:r w:rsidR="00541D1D">
              <w:rPr>
                <w:sz w:val="22"/>
                <w:szCs w:val="22"/>
              </w:rPr>
              <w:t>/DMO</w:t>
            </w:r>
            <w:r w:rsidRPr="00AF6C67">
              <w:rPr>
                <w:sz w:val="22"/>
                <w:szCs w:val="22"/>
              </w:rPr>
              <w:t xml:space="preserve"> shall refund an amount equal to the full amount of the grant;</w:t>
            </w:r>
          </w:p>
          <w:p w:rsidR="00AF6C67" w:rsidRPr="00AF6C67" w:rsidRDefault="00AF6C67" w:rsidP="00B53BAB">
            <w:pPr>
              <w:numPr>
                <w:ilvl w:val="1"/>
                <w:numId w:val="8"/>
              </w:numPr>
              <w:spacing w:before="120" w:after="120"/>
              <w:rPr>
                <w:b/>
                <w:sz w:val="22"/>
                <w:szCs w:val="22"/>
              </w:rPr>
            </w:pPr>
            <w:r w:rsidRPr="00AF6C67">
              <w:rPr>
                <w:sz w:val="22"/>
                <w:szCs w:val="22"/>
              </w:rPr>
              <w:t>If the actual attendance is equal to or less than 85% and greater than or equal to 25% of the projected total attendance, the commission</w:t>
            </w:r>
            <w:r w:rsidR="00541D1D">
              <w:rPr>
                <w:sz w:val="22"/>
                <w:szCs w:val="22"/>
              </w:rPr>
              <w:t>/DMO</w:t>
            </w:r>
            <w:r w:rsidRPr="00AF6C67">
              <w:rPr>
                <w:sz w:val="22"/>
                <w:szCs w:val="22"/>
              </w:rPr>
              <w:t xml:space="preserve"> shall keep a portion of the grant received equal to the proportion of the actual attendance figure to the projected attendance figure rounded to the nearest dollar and refund the remaining amount;</w:t>
            </w:r>
          </w:p>
          <w:p w:rsidR="00AF6C67" w:rsidRPr="00AF6C67" w:rsidRDefault="00AF6C67" w:rsidP="00B53BAB">
            <w:pPr>
              <w:numPr>
                <w:ilvl w:val="1"/>
                <w:numId w:val="8"/>
              </w:numPr>
              <w:spacing w:before="120" w:after="120"/>
              <w:rPr>
                <w:b/>
                <w:sz w:val="22"/>
                <w:szCs w:val="22"/>
              </w:rPr>
            </w:pPr>
            <w:r w:rsidRPr="00AF6C67">
              <w:rPr>
                <w:sz w:val="22"/>
                <w:szCs w:val="22"/>
              </w:rPr>
              <w:t>If the actual attendance is greater than 85% of the projected total attendance, the commission</w:t>
            </w:r>
            <w:r w:rsidR="00541D1D">
              <w:rPr>
                <w:sz w:val="22"/>
                <w:szCs w:val="22"/>
              </w:rPr>
              <w:t>/DMO</w:t>
            </w:r>
            <w:r w:rsidRPr="00AF6C67">
              <w:rPr>
                <w:sz w:val="22"/>
                <w:szCs w:val="22"/>
              </w:rPr>
              <w:t xml:space="preserve"> shall keep the entire grant amount received.</w:t>
            </w:r>
          </w:p>
        </w:tc>
      </w:tr>
      <w:tr w:rsidR="00E22F42" w:rsidTr="00E22F42">
        <w:tblPrEx>
          <w:tblBorders>
            <w:left w:val="single" w:sz="4" w:space="0" w:color="auto"/>
            <w:right w:val="single" w:sz="4" w:space="0" w:color="auto"/>
          </w:tblBorders>
          <w:tblLook w:val="0000"/>
        </w:tblPrEx>
        <w:trPr>
          <w:trHeight w:val="446"/>
          <w:jc w:val="center"/>
        </w:trPr>
        <w:tc>
          <w:tcPr>
            <w:tcW w:w="10908" w:type="dxa"/>
            <w:tcBorders>
              <w:left w:val="nil"/>
              <w:right w:val="nil"/>
            </w:tcBorders>
            <w:shd w:val="clear" w:color="auto" w:fill="auto"/>
            <w:vAlign w:val="center"/>
          </w:tcPr>
          <w:p w:rsidR="00E22F42" w:rsidRPr="00AF6C67" w:rsidRDefault="00AF6C67" w:rsidP="00B53BAB">
            <w:pPr>
              <w:spacing w:before="120" w:after="120"/>
              <w:ind w:left="403"/>
              <w:rPr>
                <w:b/>
                <w:sz w:val="22"/>
                <w:szCs w:val="22"/>
              </w:rPr>
            </w:pPr>
            <w:r w:rsidRPr="00AF6C67">
              <w:rPr>
                <w:sz w:val="22"/>
                <w:szCs w:val="22"/>
              </w:rPr>
              <w:t>The refund provisions will not apply where attendance at the convention is adversely affected by a man-made disaster or by a substantial inclement weather-related event.</w:t>
            </w:r>
          </w:p>
        </w:tc>
      </w:tr>
      <w:tr w:rsidR="0081332A" w:rsidTr="00961681">
        <w:tblPrEx>
          <w:tblBorders>
            <w:left w:val="single" w:sz="4" w:space="0" w:color="auto"/>
            <w:right w:val="single" w:sz="4" w:space="0" w:color="auto"/>
          </w:tblBorders>
          <w:tblLook w:val="0000"/>
        </w:tblPrEx>
        <w:trPr>
          <w:trHeight w:val="446"/>
          <w:jc w:val="center"/>
        </w:trPr>
        <w:tc>
          <w:tcPr>
            <w:tcW w:w="10908" w:type="dxa"/>
            <w:tcBorders>
              <w:left w:val="nil"/>
              <w:bottom w:val="single" w:sz="4" w:space="0" w:color="auto"/>
              <w:right w:val="nil"/>
            </w:tcBorders>
            <w:shd w:val="clear" w:color="auto" w:fill="auto"/>
            <w:vAlign w:val="center"/>
          </w:tcPr>
          <w:p w:rsidR="0081332A" w:rsidRPr="00AF6C67" w:rsidRDefault="00AF6C67" w:rsidP="00B53BAB">
            <w:pPr>
              <w:spacing w:before="120" w:after="120"/>
              <w:ind w:left="403"/>
              <w:rPr>
                <w:b/>
                <w:sz w:val="22"/>
                <w:szCs w:val="22"/>
              </w:rPr>
            </w:pPr>
            <w:r w:rsidRPr="00AF6C67">
              <w:rPr>
                <w:sz w:val="22"/>
                <w:szCs w:val="22"/>
              </w:rPr>
              <w:t>Amounts that are refunded from grants will be returned to the Major Economic Convention Event in Missouri Fund to be used for future grants.</w:t>
            </w:r>
          </w:p>
        </w:tc>
      </w:tr>
    </w:tbl>
    <w:p w:rsidR="00074B12" w:rsidRDefault="00074B12" w:rsidP="00B53BAB">
      <w:pPr>
        <w:spacing w:before="120" w:after="120"/>
        <w:ind w:left="450" w:hanging="450"/>
      </w:pPr>
    </w:p>
    <w:p w:rsidR="00F90988" w:rsidRDefault="00F90988" w:rsidP="00B53BAB">
      <w:pPr>
        <w:spacing w:before="120" w:after="120"/>
        <w:ind w:left="450" w:hanging="450"/>
      </w:pPr>
    </w:p>
    <w:p w:rsidR="00F90988" w:rsidRDefault="00F90988" w:rsidP="00B53BAB">
      <w:pPr>
        <w:spacing w:before="120" w:after="120"/>
        <w:ind w:left="450" w:hanging="450"/>
      </w:pPr>
    </w:p>
    <w:sectPr w:rsidR="00F90988" w:rsidSect="00AF6C67">
      <w:footerReference w:type="default" r:id="rId12"/>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629" w:rsidRDefault="00A07629">
      <w:r>
        <w:separator/>
      </w:r>
    </w:p>
  </w:endnote>
  <w:endnote w:type="continuationSeparator" w:id="0">
    <w:p w:rsidR="00A07629" w:rsidRDefault="00A07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29" w:rsidRDefault="00A07629">
    <w:pPr>
      <w:pStyle w:val="Footer"/>
    </w:pPr>
    <w:r>
      <w:t xml:space="preserve">Page </w:t>
    </w:r>
    <w:r w:rsidR="00457044">
      <w:rPr>
        <w:b/>
        <w:sz w:val="24"/>
        <w:szCs w:val="24"/>
      </w:rPr>
      <w:fldChar w:fldCharType="begin"/>
    </w:r>
    <w:r>
      <w:rPr>
        <w:b/>
      </w:rPr>
      <w:instrText xml:space="preserve"> PAGE </w:instrText>
    </w:r>
    <w:r w:rsidR="00457044">
      <w:rPr>
        <w:b/>
        <w:sz w:val="24"/>
        <w:szCs w:val="24"/>
      </w:rPr>
      <w:fldChar w:fldCharType="separate"/>
    </w:r>
    <w:r w:rsidR="00A6256D">
      <w:rPr>
        <w:b/>
        <w:noProof/>
      </w:rPr>
      <w:t>6</w:t>
    </w:r>
    <w:r w:rsidR="00457044">
      <w:rPr>
        <w:b/>
        <w:sz w:val="24"/>
        <w:szCs w:val="24"/>
      </w:rPr>
      <w:fldChar w:fldCharType="end"/>
    </w:r>
    <w:r>
      <w:t xml:space="preserve"> of </w:t>
    </w:r>
    <w:r w:rsidR="00457044">
      <w:rPr>
        <w:b/>
        <w:sz w:val="24"/>
        <w:szCs w:val="24"/>
      </w:rPr>
      <w:fldChar w:fldCharType="begin"/>
    </w:r>
    <w:r>
      <w:rPr>
        <w:b/>
      </w:rPr>
      <w:instrText xml:space="preserve"> NUMPAGES  </w:instrText>
    </w:r>
    <w:r w:rsidR="00457044">
      <w:rPr>
        <w:b/>
        <w:sz w:val="24"/>
        <w:szCs w:val="24"/>
      </w:rPr>
      <w:fldChar w:fldCharType="separate"/>
    </w:r>
    <w:r w:rsidR="00A6256D">
      <w:rPr>
        <w:b/>
        <w:noProof/>
      </w:rPr>
      <w:t>6</w:t>
    </w:r>
    <w:r w:rsidR="00457044">
      <w:rPr>
        <w:b/>
        <w:sz w:val="24"/>
        <w:szCs w:val="24"/>
      </w:rPr>
      <w:fldChar w:fldCharType="end"/>
    </w:r>
  </w:p>
  <w:p w:rsidR="00A07629" w:rsidRPr="004F7F9B" w:rsidRDefault="00A07629" w:rsidP="00C33582">
    <w:pPr>
      <w:pStyle w:val="Footer"/>
      <w:ind w:right="360"/>
      <w:rPr>
        <w:rFonts w:ascii="Garamond" w:hAnsi="Garamond"/>
        <w:b/>
        <w:color w:val="808080"/>
        <w:sz w:val="24"/>
        <w:szCs w:val="24"/>
      </w:rPr>
    </w:pPr>
    <w:r>
      <w:rPr>
        <w:rFonts w:ascii="Garamond" w:hAnsi="Garamond"/>
        <w:b/>
        <w:color w:val="808080"/>
        <w:sz w:val="24"/>
        <w:szCs w:val="24"/>
      </w:rPr>
      <w:t>Meet In Missouri Act Guidelines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629" w:rsidRDefault="00A07629">
      <w:r>
        <w:separator/>
      </w:r>
    </w:p>
  </w:footnote>
  <w:footnote w:type="continuationSeparator" w:id="0">
    <w:p w:rsidR="00A07629" w:rsidRDefault="00A07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6987"/>
    <w:multiLevelType w:val="hybridMultilevel"/>
    <w:tmpl w:val="B05A1148"/>
    <w:lvl w:ilvl="0" w:tplc="7958C804">
      <w:start w:val="1"/>
      <w:numFmt w:val="decimal"/>
      <w:lvlText w:val="%1."/>
      <w:lvlJc w:val="left"/>
      <w:pPr>
        <w:ind w:left="396" w:hanging="360"/>
      </w:pPr>
      <w:rPr>
        <w:rFonts w:hint="default"/>
        <w:b/>
        <w:sz w:val="22"/>
        <w:szCs w:val="22"/>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1CE112C4"/>
    <w:multiLevelType w:val="hybridMultilevel"/>
    <w:tmpl w:val="350C5786"/>
    <w:lvl w:ilvl="0" w:tplc="3796C64E">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
    <w:nsid w:val="1E2C41AD"/>
    <w:multiLevelType w:val="hybridMultilevel"/>
    <w:tmpl w:val="79AA09BE"/>
    <w:lvl w:ilvl="0" w:tplc="E88E53AA">
      <w:start w:val="1"/>
      <w:numFmt w:val="decimal"/>
      <w:lvlText w:val="%1."/>
      <w:lvlJc w:val="left"/>
      <w:pPr>
        <w:ind w:left="396" w:hanging="360"/>
      </w:pPr>
      <w:rPr>
        <w:rFonts w:hint="default"/>
        <w:b/>
      </w:rPr>
    </w:lvl>
    <w:lvl w:ilvl="1" w:tplc="04090001">
      <w:start w:val="1"/>
      <w:numFmt w:val="bullet"/>
      <w:lvlText w:val=""/>
      <w:lvlJc w:val="left"/>
      <w:pPr>
        <w:ind w:left="1116" w:hanging="360"/>
      </w:pPr>
      <w:rPr>
        <w:rFonts w:ascii="Symbol" w:hAnsi="Symbol" w:hint="default"/>
        <w:b/>
      </w:rPr>
    </w:lvl>
    <w:lvl w:ilvl="2" w:tplc="04090003">
      <w:start w:val="1"/>
      <w:numFmt w:val="bullet"/>
      <w:lvlText w:val="o"/>
      <w:lvlJc w:val="left"/>
      <w:pPr>
        <w:ind w:left="1836" w:hanging="180"/>
      </w:pPr>
      <w:rPr>
        <w:rFonts w:ascii="Courier New" w:hAnsi="Courier New" w:cs="Courier New" w:hint="default"/>
      </w:rPr>
    </w:lvl>
    <w:lvl w:ilvl="3" w:tplc="04090005">
      <w:start w:val="1"/>
      <w:numFmt w:val="bullet"/>
      <w:lvlText w:val=""/>
      <w:lvlJc w:val="left"/>
      <w:pPr>
        <w:ind w:left="2556" w:hanging="360"/>
      </w:pPr>
      <w:rPr>
        <w:rFonts w:ascii="Wingdings" w:hAnsi="Wingdings" w:hint="default"/>
      </w:rPr>
    </w:lvl>
    <w:lvl w:ilvl="4" w:tplc="0409000D">
      <w:start w:val="1"/>
      <w:numFmt w:val="bullet"/>
      <w:lvlText w:val=""/>
      <w:lvlJc w:val="left"/>
      <w:pPr>
        <w:ind w:left="3276" w:hanging="360"/>
      </w:pPr>
      <w:rPr>
        <w:rFonts w:ascii="Wingdings" w:hAnsi="Wingdings" w:hint="default"/>
      </w:r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
    <w:nsid w:val="1F000506"/>
    <w:multiLevelType w:val="hybridMultilevel"/>
    <w:tmpl w:val="E5F6B2E6"/>
    <w:lvl w:ilvl="0" w:tplc="86D29D1A">
      <w:start w:val="1"/>
      <w:numFmt w:val="decimal"/>
      <w:lvlText w:val="%1."/>
      <w:lvlJc w:val="left"/>
      <w:pPr>
        <w:ind w:left="396" w:hanging="360"/>
      </w:pPr>
      <w:rPr>
        <w:rFonts w:hint="default"/>
        <w:b/>
      </w:rPr>
    </w:lvl>
    <w:lvl w:ilvl="1" w:tplc="04090001">
      <w:start w:val="1"/>
      <w:numFmt w:val="bullet"/>
      <w:lvlText w:val=""/>
      <w:lvlJc w:val="left"/>
      <w:pPr>
        <w:ind w:left="1116" w:hanging="360"/>
      </w:pPr>
      <w:rPr>
        <w:rFonts w:ascii="Symbol" w:hAnsi="Symbol" w:hint="default"/>
      </w:r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4">
    <w:nsid w:val="3DF93868"/>
    <w:multiLevelType w:val="hybridMultilevel"/>
    <w:tmpl w:val="CFB845D0"/>
    <w:lvl w:ilvl="0" w:tplc="819A93CA">
      <w:start w:val="2"/>
      <w:numFmt w:val="decimal"/>
      <w:lvlText w:val="%1."/>
      <w:lvlJc w:val="left"/>
      <w:pPr>
        <w:ind w:left="396" w:hanging="360"/>
      </w:pPr>
      <w:rPr>
        <w:rFonts w:hint="default"/>
        <w:b/>
      </w:rPr>
    </w:lvl>
    <w:lvl w:ilvl="1" w:tplc="04090001">
      <w:start w:val="1"/>
      <w:numFmt w:val="bullet"/>
      <w:lvlText w:val=""/>
      <w:lvlJc w:val="left"/>
      <w:pPr>
        <w:ind w:left="1116" w:hanging="360"/>
      </w:pPr>
      <w:rPr>
        <w:rFonts w:ascii="Symbol" w:hAnsi="Symbol" w:hint="default"/>
        <w:b/>
      </w:r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5">
    <w:nsid w:val="4EFB2FDF"/>
    <w:multiLevelType w:val="hybridMultilevel"/>
    <w:tmpl w:val="86D287B6"/>
    <w:lvl w:ilvl="0" w:tplc="85F46BB6">
      <w:start w:val="1"/>
      <w:numFmt w:val="decimal"/>
      <w:lvlText w:val="%1."/>
      <w:lvlJc w:val="left"/>
      <w:pPr>
        <w:ind w:left="396" w:hanging="360"/>
      </w:pPr>
      <w:rPr>
        <w:rFonts w:hint="default"/>
      </w:rPr>
    </w:lvl>
    <w:lvl w:ilvl="1" w:tplc="04090001">
      <w:start w:val="1"/>
      <w:numFmt w:val="bullet"/>
      <w:lvlText w:val=""/>
      <w:lvlJc w:val="left"/>
      <w:pPr>
        <w:ind w:left="1116" w:hanging="360"/>
      </w:pPr>
      <w:rPr>
        <w:rFonts w:ascii="Symbol" w:hAnsi="Symbol" w:hint="default"/>
      </w:r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6">
    <w:nsid w:val="71953D47"/>
    <w:multiLevelType w:val="hybridMultilevel"/>
    <w:tmpl w:val="9C0E7342"/>
    <w:lvl w:ilvl="0" w:tplc="3D58E2B4">
      <w:start w:val="1"/>
      <w:numFmt w:val="decimal"/>
      <w:lvlText w:val="%1."/>
      <w:lvlJc w:val="left"/>
      <w:pPr>
        <w:ind w:left="396" w:hanging="360"/>
      </w:pPr>
      <w:rPr>
        <w:rFonts w:hint="default"/>
        <w:b/>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7">
    <w:nsid w:val="7374770C"/>
    <w:multiLevelType w:val="hybridMultilevel"/>
    <w:tmpl w:val="36F6E6AC"/>
    <w:lvl w:ilvl="0" w:tplc="DD3A88BA">
      <w:start w:val="1"/>
      <w:numFmt w:val="decimal"/>
      <w:lvlText w:val="%1."/>
      <w:lvlJc w:val="left"/>
      <w:pPr>
        <w:ind w:left="396" w:hanging="360"/>
      </w:pPr>
      <w:rPr>
        <w:rFonts w:hint="default"/>
        <w:b/>
        <w:sz w:val="22"/>
      </w:rPr>
    </w:lvl>
    <w:lvl w:ilvl="1" w:tplc="04090001">
      <w:start w:val="1"/>
      <w:numFmt w:val="bullet"/>
      <w:lvlText w:val=""/>
      <w:lvlJc w:val="left"/>
      <w:pPr>
        <w:ind w:left="1116" w:hanging="360"/>
      </w:pPr>
      <w:rPr>
        <w:rFonts w:ascii="Symbol" w:hAnsi="Symbol" w:hint="default"/>
        <w:b/>
      </w:rPr>
    </w:lvl>
    <w:lvl w:ilvl="2" w:tplc="04090003">
      <w:start w:val="1"/>
      <w:numFmt w:val="bullet"/>
      <w:lvlText w:val="o"/>
      <w:lvlJc w:val="left"/>
      <w:pPr>
        <w:ind w:left="1836" w:hanging="180"/>
      </w:pPr>
      <w:rPr>
        <w:rFonts w:ascii="Courier New" w:hAnsi="Courier New" w:cs="Courier New" w:hint="default"/>
        <w:b/>
      </w:r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7"/>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7" w:nlCheck="1" w:checkStyle="1"/>
  <w:activeWritingStyle w:appName="MSWord" w:lang="en-US" w:vendorID="64" w:dllVersion="131078" w:nlCheck="1" w:checkStyle="1"/>
  <w:proofState w:spelling="clean" w:grammar="clean"/>
  <w:stylePaneFormatFilter w:val="3F01"/>
  <w:documentProtection w:edit="forms" w:enforcement="1" w:cryptProviderType="rsaFull" w:cryptAlgorithmClass="hash" w:cryptAlgorithmType="typeAny" w:cryptAlgorithmSid="4" w:cryptSpinCount="100000" w:hash="Tgbboa/3LZ9QrAhn1Mf2s+Rumf4=" w:salt="RWrTPwwYlBHSu0r+TE6Anw=="/>
  <w:defaultTabStop w:val="720"/>
  <w:drawingGridHorizontalSpacing w:val="100"/>
  <w:displayHorizontalDrawingGridEvery w:val="0"/>
  <w:displayVerticalDrawingGridEvery w:val="0"/>
  <w:noPunctuationKerning/>
  <w:characterSpacingControl w:val="doNotCompress"/>
  <w:hdrShapeDefaults>
    <o:shapedefaults v:ext="edit" spidmax="57345">
      <o:colormru v:ext="edit" colors="#eaeaea,#f8f8f8,#6cf,#ccecff"/>
    </o:shapedefaults>
  </w:hdrShapeDefaults>
  <w:footnotePr>
    <w:footnote w:id="-1"/>
    <w:footnote w:id="0"/>
  </w:footnotePr>
  <w:endnotePr>
    <w:endnote w:id="-1"/>
    <w:endnote w:id="0"/>
  </w:endnotePr>
  <w:compat/>
  <w:rsids>
    <w:rsidRoot w:val="00A51A04"/>
    <w:rsid w:val="000040EE"/>
    <w:rsid w:val="000043BA"/>
    <w:rsid w:val="0000525B"/>
    <w:rsid w:val="000059B0"/>
    <w:rsid w:val="00006630"/>
    <w:rsid w:val="000133E8"/>
    <w:rsid w:val="00013A60"/>
    <w:rsid w:val="00016022"/>
    <w:rsid w:val="00025A23"/>
    <w:rsid w:val="00025B2F"/>
    <w:rsid w:val="00027478"/>
    <w:rsid w:val="00027A21"/>
    <w:rsid w:val="00031E25"/>
    <w:rsid w:val="000327E8"/>
    <w:rsid w:val="000332BA"/>
    <w:rsid w:val="00035757"/>
    <w:rsid w:val="00036E5F"/>
    <w:rsid w:val="00042D99"/>
    <w:rsid w:val="00045BB7"/>
    <w:rsid w:val="0004617A"/>
    <w:rsid w:val="00052ED7"/>
    <w:rsid w:val="00054E70"/>
    <w:rsid w:val="00060E46"/>
    <w:rsid w:val="000652D5"/>
    <w:rsid w:val="000713A6"/>
    <w:rsid w:val="00074B12"/>
    <w:rsid w:val="0007642E"/>
    <w:rsid w:val="00081314"/>
    <w:rsid w:val="00082ADF"/>
    <w:rsid w:val="00083372"/>
    <w:rsid w:val="00083A08"/>
    <w:rsid w:val="0009017B"/>
    <w:rsid w:val="0009142E"/>
    <w:rsid w:val="00092041"/>
    <w:rsid w:val="00093410"/>
    <w:rsid w:val="00093A90"/>
    <w:rsid w:val="0009527C"/>
    <w:rsid w:val="00096A9F"/>
    <w:rsid w:val="000A0E46"/>
    <w:rsid w:val="000A1EF7"/>
    <w:rsid w:val="000A3906"/>
    <w:rsid w:val="000A57CD"/>
    <w:rsid w:val="000A5FDA"/>
    <w:rsid w:val="000B1CF7"/>
    <w:rsid w:val="000B4401"/>
    <w:rsid w:val="000B4E81"/>
    <w:rsid w:val="000C072C"/>
    <w:rsid w:val="000C7504"/>
    <w:rsid w:val="000C7929"/>
    <w:rsid w:val="000C799F"/>
    <w:rsid w:val="000D5178"/>
    <w:rsid w:val="000D7DBE"/>
    <w:rsid w:val="000E3601"/>
    <w:rsid w:val="000E608F"/>
    <w:rsid w:val="000E75D3"/>
    <w:rsid w:val="000E79B0"/>
    <w:rsid w:val="000F0571"/>
    <w:rsid w:val="000F14D3"/>
    <w:rsid w:val="000F5960"/>
    <w:rsid w:val="000F6036"/>
    <w:rsid w:val="000F7C35"/>
    <w:rsid w:val="00102124"/>
    <w:rsid w:val="001035FE"/>
    <w:rsid w:val="00103E0A"/>
    <w:rsid w:val="00107764"/>
    <w:rsid w:val="00111341"/>
    <w:rsid w:val="00112245"/>
    <w:rsid w:val="0011375D"/>
    <w:rsid w:val="0011411D"/>
    <w:rsid w:val="00114C1A"/>
    <w:rsid w:val="00116BBC"/>
    <w:rsid w:val="00117B42"/>
    <w:rsid w:val="00117FC0"/>
    <w:rsid w:val="0012220C"/>
    <w:rsid w:val="00123B28"/>
    <w:rsid w:val="00126AC9"/>
    <w:rsid w:val="00140330"/>
    <w:rsid w:val="00142D90"/>
    <w:rsid w:val="00153B8F"/>
    <w:rsid w:val="001541EE"/>
    <w:rsid w:val="0015787B"/>
    <w:rsid w:val="00157B9D"/>
    <w:rsid w:val="00171FAE"/>
    <w:rsid w:val="00173CA2"/>
    <w:rsid w:val="001759A1"/>
    <w:rsid w:val="00181327"/>
    <w:rsid w:val="00183A29"/>
    <w:rsid w:val="001968D8"/>
    <w:rsid w:val="00196A9D"/>
    <w:rsid w:val="00197E80"/>
    <w:rsid w:val="001A1BC4"/>
    <w:rsid w:val="001A2FEA"/>
    <w:rsid w:val="001A7F43"/>
    <w:rsid w:val="001B454C"/>
    <w:rsid w:val="001B457A"/>
    <w:rsid w:val="001B70CC"/>
    <w:rsid w:val="001C2989"/>
    <w:rsid w:val="001C433E"/>
    <w:rsid w:val="001C4423"/>
    <w:rsid w:val="001C5F13"/>
    <w:rsid w:val="001C77D9"/>
    <w:rsid w:val="001C7F55"/>
    <w:rsid w:val="001D1311"/>
    <w:rsid w:val="001D3083"/>
    <w:rsid w:val="001D7332"/>
    <w:rsid w:val="001D7441"/>
    <w:rsid w:val="001E51AD"/>
    <w:rsid w:val="001E57E1"/>
    <w:rsid w:val="001E6263"/>
    <w:rsid w:val="001E69C3"/>
    <w:rsid w:val="001F1690"/>
    <w:rsid w:val="001F1B3C"/>
    <w:rsid w:val="002042B6"/>
    <w:rsid w:val="00207ABB"/>
    <w:rsid w:val="002100D9"/>
    <w:rsid w:val="00210E9F"/>
    <w:rsid w:val="0021120D"/>
    <w:rsid w:val="00212171"/>
    <w:rsid w:val="002200E7"/>
    <w:rsid w:val="002201ED"/>
    <w:rsid w:val="002323D4"/>
    <w:rsid w:val="00232B20"/>
    <w:rsid w:val="002336ED"/>
    <w:rsid w:val="00235F36"/>
    <w:rsid w:val="00235F73"/>
    <w:rsid w:val="0023784C"/>
    <w:rsid w:val="0024038F"/>
    <w:rsid w:val="0024051E"/>
    <w:rsid w:val="00242C31"/>
    <w:rsid w:val="00244E48"/>
    <w:rsid w:val="00245384"/>
    <w:rsid w:val="00251DA8"/>
    <w:rsid w:val="0025272B"/>
    <w:rsid w:val="00254A66"/>
    <w:rsid w:val="00256AD6"/>
    <w:rsid w:val="002619E5"/>
    <w:rsid w:val="002632FC"/>
    <w:rsid w:val="00270E56"/>
    <w:rsid w:val="002813F5"/>
    <w:rsid w:val="00282F74"/>
    <w:rsid w:val="00283664"/>
    <w:rsid w:val="00284FD8"/>
    <w:rsid w:val="00286C62"/>
    <w:rsid w:val="002933BF"/>
    <w:rsid w:val="00294F22"/>
    <w:rsid w:val="00295FA3"/>
    <w:rsid w:val="002978C0"/>
    <w:rsid w:val="002A0804"/>
    <w:rsid w:val="002A0D5D"/>
    <w:rsid w:val="002A26E3"/>
    <w:rsid w:val="002B4D26"/>
    <w:rsid w:val="002B4D2E"/>
    <w:rsid w:val="002B50C6"/>
    <w:rsid w:val="002B5EC2"/>
    <w:rsid w:val="002B6B2B"/>
    <w:rsid w:val="002C0A0E"/>
    <w:rsid w:val="002C0ED1"/>
    <w:rsid w:val="002C10AA"/>
    <w:rsid w:val="002C1325"/>
    <w:rsid w:val="002C74C2"/>
    <w:rsid w:val="002D44F8"/>
    <w:rsid w:val="002D5E4E"/>
    <w:rsid w:val="002E06DB"/>
    <w:rsid w:val="002E0DC8"/>
    <w:rsid w:val="002E6AA7"/>
    <w:rsid w:val="002F3B7F"/>
    <w:rsid w:val="002F418D"/>
    <w:rsid w:val="002F6E72"/>
    <w:rsid w:val="002F6EB3"/>
    <w:rsid w:val="003006CB"/>
    <w:rsid w:val="0030661D"/>
    <w:rsid w:val="003130D4"/>
    <w:rsid w:val="003148ED"/>
    <w:rsid w:val="0032168F"/>
    <w:rsid w:val="00321F12"/>
    <w:rsid w:val="00322613"/>
    <w:rsid w:val="00336285"/>
    <w:rsid w:val="003369AC"/>
    <w:rsid w:val="00340082"/>
    <w:rsid w:val="00340977"/>
    <w:rsid w:val="0034230C"/>
    <w:rsid w:val="003460B8"/>
    <w:rsid w:val="0034772E"/>
    <w:rsid w:val="00351EFB"/>
    <w:rsid w:val="00353BB1"/>
    <w:rsid w:val="00356216"/>
    <w:rsid w:val="00356AA0"/>
    <w:rsid w:val="003644F1"/>
    <w:rsid w:val="00366F00"/>
    <w:rsid w:val="0037580F"/>
    <w:rsid w:val="0038208E"/>
    <w:rsid w:val="0038355C"/>
    <w:rsid w:val="0038686A"/>
    <w:rsid w:val="003928B2"/>
    <w:rsid w:val="0039432F"/>
    <w:rsid w:val="00394FA9"/>
    <w:rsid w:val="003A05F9"/>
    <w:rsid w:val="003A64B7"/>
    <w:rsid w:val="003A6785"/>
    <w:rsid w:val="003B0D9A"/>
    <w:rsid w:val="003B143A"/>
    <w:rsid w:val="003B2F3E"/>
    <w:rsid w:val="003B42F1"/>
    <w:rsid w:val="003B4B66"/>
    <w:rsid w:val="003B5752"/>
    <w:rsid w:val="003B66F1"/>
    <w:rsid w:val="003C1413"/>
    <w:rsid w:val="003C3705"/>
    <w:rsid w:val="003C3E1C"/>
    <w:rsid w:val="003C4843"/>
    <w:rsid w:val="003C4A14"/>
    <w:rsid w:val="003D1321"/>
    <w:rsid w:val="003D1AD6"/>
    <w:rsid w:val="003D3ABE"/>
    <w:rsid w:val="003D3DF2"/>
    <w:rsid w:val="003E199D"/>
    <w:rsid w:val="003E680E"/>
    <w:rsid w:val="003E7045"/>
    <w:rsid w:val="003F1695"/>
    <w:rsid w:val="003F1827"/>
    <w:rsid w:val="003F1B37"/>
    <w:rsid w:val="003F1F76"/>
    <w:rsid w:val="003F3EAE"/>
    <w:rsid w:val="003F611E"/>
    <w:rsid w:val="0040050F"/>
    <w:rsid w:val="004039A6"/>
    <w:rsid w:val="00404599"/>
    <w:rsid w:val="00406A1A"/>
    <w:rsid w:val="00410D7D"/>
    <w:rsid w:val="00411C35"/>
    <w:rsid w:val="00412B15"/>
    <w:rsid w:val="00422931"/>
    <w:rsid w:val="004259ED"/>
    <w:rsid w:val="0043395F"/>
    <w:rsid w:val="00435AAC"/>
    <w:rsid w:val="004368DB"/>
    <w:rsid w:val="0043701F"/>
    <w:rsid w:val="00440383"/>
    <w:rsid w:val="00441544"/>
    <w:rsid w:val="004521C9"/>
    <w:rsid w:val="004558D3"/>
    <w:rsid w:val="004559AA"/>
    <w:rsid w:val="00457044"/>
    <w:rsid w:val="00466BA7"/>
    <w:rsid w:val="00466D0C"/>
    <w:rsid w:val="00467BBA"/>
    <w:rsid w:val="00470438"/>
    <w:rsid w:val="00474095"/>
    <w:rsid w:val="00474CA7"/>
    <w:rsid w:val="00475E4A"/>
    <w:rsid w:val="0048009C"/>
    <w:rsid w:val="0048027B"/>
    <w:rsid w:val="00485D80"/>
    <w:rsid w:val="00486522"/>
    <w:rsid w:val="0049013F"/>
    <w:rsid w:val="00492766"/>
    <w:rsid w:val="0049728F"/>
    <w:rsid w:val="004A090F"/>
    <w:rsid w:val="004A0FD1"/>
    <w:rsid w:val="004A12F1"/>
    <w:rsid w:val="004A39E3"/>
    <w:rsid w:val="004B0AAE"/>
    <w:rsid w:val="004B0ADF"/>
    <w:rsid w:val="004B1AB6"/>
    <w:rsid w:val="004B2DBD"/>
    <w:rsid w:val="004B5CC1"/>
    <w:rsid w:val="004D0C43"/>
    <w:rsid w:val="004D1F91"/>
    <w:rsid w:val="004E6365"/>
    <w:rsid w:val="004F0429"/>
    <w:rsid w:val="004F5499"/>
    <w:rsid w:val="004F557C"/>
    <w:rsid w:val="004F57BF"/>
    <w:rsid w:val="004F7F9B"/>
    <w:rsid w:val="00503EEF"/>
    <w:rsid w:val="00504758"/>
    <w:rsid w:val="005048C7"/>
    <w:rsid w:val="005070E4"/>
    <w:rsid w:val="00507E5F"/>
    <w:rsid w:val="005124D6"/>
    <w:rsid w:val="00514744"/>
    <w:rsid w:val="005149AF"/>
    <w:rsid w:val="005149F0"/>
    <w:rsid w:val="00514DE3"/>
    <w:rsid w:val="005208AB"/>
    <w:rsid w:val="00521984"/>
    <w:rsid w:val="00521ABC"/>
    <w:rsid w:val="00521BC2"/>
    <w:rsid w:val="00521F32"/>
    <w:rsid w:val="00523329"/>
    <w:rsid w:val="00530766"/>
    <w:rsid w:val="00534352"/>
    <w:rsid w:val="00535D0C"/>
    <w:rsid w:val="00537926"/>
    <w:rsid w:val="005402A5"/>
    <w:rsid w:val="00540616"/>
    <w:rsid w:val="00541D1D"/>
    <w:rsid w:val="00541FFE"/>
    <w:rsid w:val="00542310"/>
    <w:rsid w:val="00545831"/>
    <w:rsid w:val="00546AFB"/>
    <w:rsid w:val="00547CD9"/>
    <w:rsid w:val="005534B9"/>
    <w:rsid w:val="00554BA7"/>
    <w:rsid w:val="005554E5"/>
    <w:rsid w:val="00555E52"/>
    <w:rsid w:val="00556554"/>
    <w:rsid w:val="005611CE"/>
    <w:rsid w:val="0056663A"/>
    <w:rsid w:val="00567A70"/>
    <w:rsid w:val="00572472"/>
    <w:rsid w:val="00572496"/>
    <w:rsid w:val="005737B2"/>
    <w:rsid w:val="00581369"/>
    <w:rsid w:val="00584B7E"/>
    <w:rsid w:val="00585D14"/>
    <w:rsid w:val="0059093D"/>
    <w:rsid w:val="0059557B"/>
    <w:rsid w:val="005A1D08"/>
    <w:rsid w:val="005A4D60"/>
    <w:rsid w:val="005A68EE"/>
    <w:rsid w:val="005A7D32"/>
    <w:rsid w:val="005B0D9F"/>
    <w:rsid w:val="005C04F2"/>
    <w:rsid w:val="005C0B72"/>
    <w:rsid w:val="005D1AA3"/>
    <w:rsid w:val="005D29F1"/>
    <w:rsid w:val="005D4031"/>
    <w:rsid w:val="005D7950"/>
    <w:rsid w:val="005E0953"/>
    <w:rsid w:val="005E1AE2"/>
    <w:rsid w:val="005E3353"/>
    <w:rsid w:val="005E5E31"/>
    <w:rsid w:val="005F26E4"/>
    <w:rsid w:val="005F7DC2"/>
    <w:rsid w:val="00602FBC"/>
    <w:rsid w:val="00603B9F"/>
    <w:rsid w:val="006054A0"/>
    <w:rsid w:val="00607BA9"/>
    <w:rsid w:val="0061034D"/>
    <w:rsid w:val="006114C8"/>
    <w:rsid w:val="00613003"/>
    <w:rsid w:val="00613977"/>
    <w:rsid w:val="0061566D"/>
    <w:rsid w:val="0061622E"/>
    <w:rsid w:val="00616D38"/>
    <w:rsid w:val="00616F27"/>
    <w:rsid w:val="00621F53"/>
    <w:rsid w:val="00624989"/>
    <w:rsid w:val="00632DAF"/>
    <w:rsid w:val="00640D2C"/>
    <w:rsid w:val="0064545B"/>
    <w:rsid w:val="00646263"/>
    <w:rsid w:val="00650632"/>
    <w:rsid w:val="00652ADD"/>
    <w:rsid w:val="0065462A"/>
    <w:rsid w:val="00654F2F"/>
    <w:rsid w:val="00656CEE"/>
    <w:rsid w:val="00661C50"/>
    <w:rsid w:val="00663F11"/>
    <w:rsid w:val="00671A1A"/>
    <w:rsid w:val="006720F5"/>
    <w:rsid w:val="006748CC"/>
    <w:rsid w:val="00674D7C"/>
    <w:rsid w:val="006778AC"/>
    <w:rsid w:val="00682405"/>
    <w:rsid w:val="006A16AE"/>
    <w:rsid w:val="006A2975"/>
    <w:rsid w:val="006A39E1"/>
    <w:rsid w:val="006A4CE7"/>
    <w:rsid w:val="006A5D64"/>
    <w:rsid w:val="006B242B"/>
    <w:rsid w:val="006C0998"/>
    <w:rsid w:val="006C0EAC"/>
    <w:rsid w:val="006C33DE"/>
    <w:rsid w:val="006C6FCF"/>
    <w:rsid w:val="006D0881"/>
    <w:rsid w:val="006D3CE9"/>
    <w:rsid w:val="006D4903"/>
    <w:rsid w:val="006D4ED1"/>
    <w:rsid w:val="006D7254"/>
    <w:rsid w:val="006E01ED"/>
    <w:rsid w:val="006E1CB2"/>
    <w:rsid w:val="006E792B"/>
    <w:rsid w:val="006F1BF8"/>
    <w:rsid w:val="006F413C"/>
    <w:rsid w:val="006F4900"/>
    <w:rsid w:val="007005EA"/>
    <w:rsid w:val="00700A1A"/>
    <w:rsid w:val="007019D2"/>
    <w:rsid w:val="00704A9F"/>
    <w:rsid w:val="00704FC0"/>
    <w:rsid w:val="00705B87"/>
    <w:rsid w:val="00710EF8"/>
    <w:rsid w:val="00713C97"/>
    <w:rsid w:val="00714717"/>
    <w:rsid w:val="00715A9F"/>
    <w:rsid w:val="00715D74"/>
    <w:rsid w:val="00730CEA"/>
    <w:rsid w:val="007328B2"/>
    <w:rsid w:val="00734745"/>
    <w:rsid w:val="00734867"/>
    <w:rsid w:val="00736E77"/>
    <w:rsid w:val="00740CF1"/>
    <w:rsid w:val="0074134D"/>
    <w:rsid w:val="007455C9"/>
    <w:rsid w:val="0074630B"/>
    <w:rsid w:val="007502DD"/>
    <w:rsid w:val="007510FA"/>
    <w:rsid w:val="007511FE"/>
    <w:rsid w:val="00753569"/>
    <w:rsid w:val="00757A40"/>
    <w:rsid w:val="007612AD"/>
    <w:rsid w:val="007653CA"/>
    <w:rsid w:val="00765A8E"/>
    <w:rsid w:val="00773394"/>
    <w:rsid w:val="0077773A"/>
    <w:rsid w:val="0078166F"/>
    <w:rsid w:val="00781BF7"/>
    <w:rsid w:val="0078374C"/>
    <w:rsid w:val="00784F26"/>
    <w:rsid w:val="007868A6"/>
    <w:rsid w:val="0079105F"/>
    <w:rsid w:val="0079381B"/>
    <w:rsid w:val="0079398D"/>
    <w:rsid w:val="00795FC5"/>
    <w:rsid w:val="007969D0"/>
    <w:rsid w:val="007A019E"/>
    <w:rsid w:val="007A0ED4"/>
    <w:rsid w:val="007A1986"/>
    <w:rsid w:val="007A20AB"/>
    <w:rsid w:val="007A60B4"/>
    <w:rsid w:val="007A6ADF"/>
    <w:rsid w:val="007B4A89"/>
    <w:rsid w:val="007C5955"/>
    <w:rsid w:val="007D110D"/>
    <w:rsid w:val="007D5DB7"/>
    <w:rsid w:val="007D67C4"/>
    <w:rsid w:val="007E0C97"/>
    <w:rsid w:val="007E0CD2"/>
    <w:rsid w:val="007E204F"/>
    <w:rsid w:val="007E2469"/>
    <w:rsid w:val="007E5CB0"/>
    <w:rsid w:val="007E7C9E"/>
    <w:rsid w:val="007F00E0"/>
    <w:rsid w:val="007F3B08"/>
    <w:rsid w:val="007F6309"/>
    <w:rsid w:val="007F6E41"/>
    <w:rsid w:val="00801DBC"/>
    <w:rsid w:val="00803535"/>
    <w:rsid w:val="00807B27"/>
    <w:rsid w:val="00811257"/>
    <w:rsid w:val="0081332A"/>
    <w:rsid w:val="008141B3"/>
    <w:rsid w:val="0081458C"/>
    <w:rsid w:val="00814D39"/>
    <w:rsid w:val="00815328"/>
    <w:rsid w:val="0081628D"/>
    <w:rsid w:val="008227F7"/>
    <w:rsid w:val="008239FF"/>
    <w:rsid w:val="00824AC9"/>
    <w:rsid w:val="00825549"/>
    <w:rsid w:val="008279AC"/>
    <w:rsid w:val="008316BF"/>
    <w:rsid w:val="008338F4"/>
    <w:rsid w:val="00836936"/>
    <w:rsid w:val="00840516"/>
    <w:rsid w:val="008420E2"/>
    <w:rsid w:val="00844187"/>
    <w:rsid w:val="0085005D"/>
    <w:rsid w:val="00850A12"/>
    <w:rsid w:val="00851E58"/>
    <w:rsid w:val="00851FEA"/>
    <w:rsid w:val="008534ED"/>
    <w:rsid w:val="00862D1B"/>
    <w:rsid w:val="00866003"/>
    <w:rsid w:val="00874953"/>
    <w:rsid w:val="00875108"/>
    <w:rsid w:val="0088146A"/>
    <w:rsid w:val="0088326C"/>
    <w:rsid w:val="008848C3"/>
    <w:rsid w:val="0088567F"/>
    <w:rsid w:val="0089265D"/>
    <w:rsid w:val="008930BE"/>
    <w:rsid w:val="00895814"/>
    <w:rsid w:val="008A07F5"/>
    <w:rsid w:val="008A4DA0"/>
    <w:rsid w:val="008B455B"/>
    <w:rsid w:val="008B48EF"/>
    <w:rsid w:val="008B7339"/>
    <w:rsid w:val="008C0940"/>
    <w:rsid w:val="008C1EF9"/>
    <w:rsid w:val="008C2513"/>
    <w:rsid w:val="008D0E28"/>
    <w:rsid w:val="008D260F"/>
    <w:rsid w:val="008D427D"/>
    <w:rsid w:val="008D5227"/>
    <w:rsid w:val="008D721C"/>
    <w:rsid w:val="008F0AC7"/>
    <w:rsid w:val="008F2681"/>
    <w:rsid w:val="008F7556"/>
    <w:rsid w:val="009052A5"/>
    <w:rsid w:val="009056A0"/>
    <w:rsid w:val="00905CE2"/>
    <w:rsid w:val="00910F1E"/>
    <w:rsid w:val="009129F9"/>
    <w:rsid w:val="009147FB"/>
    <w:rsid w:val="00914BF4"/>
    <w:rsid w:val="00916622"/>
    <w:rsid w:val="00917107"/>
    <w:rsid w:val="009236D6"/>
    <w:rsid w:val="00924815"/>
    <w:rsid w:val="00927481"/>
    <w:rsid w:val="00931D10"/>
    <w:rsid w:val="00934D19"/>
    <w:rsid w:val="00935A4E"/>
    <w:rsid w:val="009373E5"/>
    <w:rsid w:val="00943573"/>
    <w:rsid w:val="00951477"/>
    <w:rsid w:val="00961681"/>
    <w:rsid w:val="00964666"/>
    <w:rsid w:val="00965387"/>
    <w:rsid w:val="0097027E"/>
    <w:rsid w:val="00972796"/>
    <w:rsid w:val="00975AE8"/>
    <w:rsid w:val="00976E0D"/>
    <w:rsid w:val="009773FA"/>
    <w:rsid w:val="00977EAC"/>
    <w:rsid w:val="00981687"/>
    <w:rsid w:val="009822EF"/>
    <w:rsid w:val="00982D91"/>
    <w:rsid w:val="00984D88"/>
    <w:rsid w:val="00990357"/>
    <w:rsid w:val="00993909"/>
    <w:rsid w:val="00995743"/>
    <w:rsid w:val="009A0D76"/>
    <w:rsid w:val="009A520A"/>
    <w:rsid w:val="009A524E"/>
    <w:rsid w:val="009B10F7"/>
    <w:rsid w:val="009B25AA"/>
    <w:rsid w:val="009B2645"/>
    <w:rsid w:val="009B60EB"/>
    <w:rsid w:val="009C0671"/>
    <w:rsid w:val="009C08C2"/>
    <w:rsid w:val="009C1ED6"/>
    <w:rsid w:val="009C22B3"/>
    <w:rsid w:val="009C2C71"/>
    <w:rsid w:val="009C61FB"/>
    <w:rsid w:val="009C6F86"/>
    <w:rsid w:val="009C74CC"/>
    <w:rsid w:val="009D1FF0"/>
    <w:rsid w:val="009D549E"/>
    <w:rsid w:val="009D5B75"/>
    <w:rsid w:val="009D7579"/>
    <w:rsid w:val="009E40AE"/>
    <w:rsid w:val="009E4913"/>
    <w:rsid w:val="009E6236"/>
    <w:rsid w:val="009F0711"/>
    <w:rsid w:val="009F094E"/>
    <w:rsid w:val="009F32F6"/>
    <w:rsid w:val="009F4FBF"/>
    <w:rsid w:val="009F6AA7"/>
    <w:rsid w:val="009F71C0"/>
    <w:rsid w:val="00A003CE"/>
    <w:rsid w:val="00A0157F"/>
    <w:rsid w:val="00A04355"/>
    <w:rsid w:val="00A07629"/>
    <w:rsid w:val="00A15B53"/>
    <w:rsid w:val="00A16001"/>
    <w:rsid w:val="00A22F19"/>
    <w:rsid w:val="00A262AF"/>
    <w:rsid w:val="00A34113"/>
    <w:rsid w:val="00A346DC"/>
    <w:rsid w:val="00A366B2"/>
    <w:rsid w:val="00A41745"/>
    <w:rsid w:val="00A4552F"/>
    <w:rsid w:val="00A51A04"/>
    <w:rsid w:val="00A531E2"/>
    <w:rsid w:val="00A62267"/>
    <w:rsid w:val="00A6256D"/>
    <w:rsid w:val="00A64511"/>
    <w:rsid w:val="00A6548B"/>
    <w:rsid w:val="00A65B2F"/>
    <w:rsid w:val="00A66755"/>
    <w:rsid w:val="00A67DA3"/>
    <w:rsid w:val="00A73EA6"/>
    <w:rsid w:val="00A73EAB"/>
    <w:rsid w:val="00A804A9"/>
    <w:rsid w:val="00A8446A"/>
    <w:rsid w:val="00A95912"/>
    <w:rsid w:val="00AA17E9"/>
    <w:rsid w:val="00AA381F"/>
    <w:rsid w:val="00AB3D45"/>
    <w:rsid w:val="00AC130A"/>
    <w:rsid w:val="00AC1D94"/>
    <w:rsid w:val="00AC3F2F"/>
    <w:rsid w:val="00AC64AF"/>
    <w:rsid w:val="00AC650E"/>
    <w:rsid w:val="00AC6A47"/>
    <w:rsid w:val="00AE38D4"/>
    <w:rsid w:val="00AE5B0E"/>
    <w:rsid w:val="00AE7F5D"/>
    <w:rsid w:val="00AF28E9"/>
    <w:rsid w:val="00AF5207"/>
    <w:rsid w:val="00AF5581"/>
    <w:rsid w:val="00AF6C67"/>
    <w:rsid w:val="00B01811"/>
    <w:rsid w:val="00B03C62"/>
    <w:rsid w:val="00B040F6"/>
    <w:rsid w:val="00B04D64"/>
    <w:rsid w:val="00B052AB"/>
    <w:rsid w:val="00B05C9E"/>
    <w:rsid w:val="00B10E66"/>
    <w:rsid w:val="00B12103"/>
    <w:rsid w:val="00B155F6"/>
    <w:rsid w:val="00B16991"/>
    <w:rsid w:val="00B174AB"/>
    <w:rsid w:val="00B17A97"/>
    <w:rsid w:val="00B237AF"/>
    <w:rsid w:val="00B245C6"/>
    <w:rsid w:val="00B26EAF"/>
    <w:rsid w:val="00B309D0"/>
    <w:rsid w:val="00B3200D"/>
    <w:rsid w:val="00B33D02"/>
    <w:rsid w:val="00B35C34"/>
    <w:rsid w:val="00B40112"/>
    <w:rsid w:val="00B47BDD"/>
    <w:rsid w:val="00B5175B"/>
    <w:rsid w:val="00B53ABF"/>
    <w:rsid w:val="00B53BAB"/>
    <w:rsid w:val="00B53FC7"/>
    <w:rsid w:val="00B64AFE"/>
    <w:rsid w:val="00B65DE6"/>
    <w:rsid w:val="00B6603D"/>
    <w:rsid w:val="00B66431"/>
    <w:rsid w:val="00B745F2"/>
    <w:rsid w:val="00B77BDB"/>
    <w:rsid w:val="00B80C1B"/>
    <w:rsid w:val="00B83ABD"/>
    <w:rsid w:val="00B85751"/>
    <w:rsid w:val="00B8792B"/>
    <w:rsid w:val="00B91384"/>
    <w:rsid w:val="00B91691"/>
    <w:rsid w:val="00B92FB7"/>
    <w:rsid w:val="00B93CC3"/>
    <w:rsid w:val="00B93DD7"/>
    <w:rsid w:val="00B95F45"/>
    <w:rsid w:val="00BA11AE"/>
    <w:rsid w:val="00BA49F5"/>
    <w:rsid w:val="00BB2FE7"/>
    <w:rsid w:val="00BB5B08"/>
    <w:rsid w:val="00BB6031"/>
    <w:rsid w:val="00BC186F"/>
    <w:rsid w:val="00BC47D4"/>
    <w:rsid w:val="00BC71D3"/>
    <w:rsid w:val="00BD31F1"/>
    <w:rsid w:val="00BD5A24"/>
    <w:rsid w:val="00BD796C"/>
    <w:rsid w:val="00BE04A2"/>
    <w:rsid w:val="00BE080F"/>
    <w:rsid w:val="00BE2821"/>
    <w:rsid w:val="00BE2E1C"/>
    <w:rsid w:val="00BF170F"/>
    <w:rsid w:val="00BF1D87"/>
    <w:rsid w:val="00BF6E5C"/>
    <w:rsid w:val="00BF78E6"/>
    <w:rsid w:val="00C056AA"/>
    <w:rsid w:val="00C05DBB"/>
    <w:rsid w:val="00C110A7"/>
    <w:rsid w:val="00C112F0"/>
    <w:rsid w:val="00C11DF0"/>
    <w:rsid w:val="00C124C3"/>
    <w:rsid w:val="00C22E84"/>
    <w:rsid w:val="00C25699"/>
    <w:rsid w:val="00C259AD"/>
    <w:rsid w:val="00C271C6"/>
    <w:rsid w:val="00C319CF"/>
    <w:rsid w:val="00C32A8F"/>
    <w:rsid w:val="00C33582"/>
    <w:rsid w:val="00C34ACE"/>
    <w:rsid w:val="00C36A58"/>
    <w:rsid w:val="00C37111"/>
    <w:rsid w:val="00C3776A"/>
    <w:rsid w:val="00C4026D"/>
    <w:rsid w:val="00C40F70"/>
    <w:rsid w:val="00C43191"/>
    <w:rsid w:val="00C44032"/>
    <w:rsid w:val="00C44EA4"/>
    <w:rsid w:val="00C45A72"/>
    <w:rsid w:val="00C470D5"/>
    <w:rsid w:val="00C5256E"/>
    <w:rsid w:val="00C55E85"/>
    <w:rsid w:val="00C56E78"/>
    <w:rsid w:val="00C578FC"/>
    <w:rsid w:val="00C63A63"/>
    <w:rsid w:val="00C64862"/>
    <w:rsid w:val="00C71245"/>
    <w:rsid w:val="00C72817"/>
    <w:rsid w:val="00C7697F"/>
    <w:rsid w:val="00C85B43"/>
    <w:rsid w:val="00C86706"/>
    <w:rsid w:val="00C86B80"/>
    <w:rsid w:val="00C87736"/>
    <w:rsid w:val="00C92528"/>
    <w:rsid w:val="00C92922"/>
    <w:rsid w:val="00C931E0"/>
    <w:rsid w:val="00C94A06"/>
    <w:rsid w:val="00CA08B1"/>
    <w:rsid w:val="00CA0DE6"/>
    <w:rsid w:val="00CA1EDB"/>
    <w:rsid w:val="00CA4FD4"/>
    <w:rsid w:val="00CB0129"/>
    <w:rsid w:val="00CB0FE5"/>
    <w:rsid w:val="00CB3A3A"/>
    <w:rsid w:val="00CB40D4"/>
    <w:rsid w:val="00CB647E"/>
    <w:rsid w:val="00CD10AF"/>
    <w:rsid w:val="00CD23F1"/>
    <w:rsid w:val="00CD7155"/>
    <w:rsid w:val="00CE43E0"/>
    <w:rsid w:val="00CE5569"/>
    <w:rsid w:val="00CF5FA2"/>
    <w:rsid w:val="00D02A89"/>
    <w:rsid w:val="00D05742"/>
    <w:rsid w:val="00D06529"/>
    <w:rsid w:val="00D0700F"/>
    <w:rsid w:val="00D0772E"/>
    <w:rsid w:val="00D1123A"/>
    <w:rsid w:val="00D12002"/>
    <w:rsid w:val="00D20BCA"/>
    <w:rsid w:val="00D22950"/>
    <w:rsid w:val="00D26AEC"/>
    <w:rsid w:val="00D3107A"/>
    <w:rsid w:val="00D318C8"/>
    <w:rsid w:val="00D32DF1"/>
    <w:rsid w:val="00D33481"/>
    <w:rsid w:val="00D3657E"/>
    <w:rsid w:val="00D41737"/>
    <w:rsid w:val="00D42518"/>
    <w:rsid w:val="00D45187"/>
    <w:rsid w:val="00D50C79"/>
    <w:rsid w:val="00D50D54"/>
    <w:rsid w:val="00D51EE1"/>
    <w:rsid w:val="00D55B05"/>
    <w:rsid w:val="00D6104E"/>
    <w:rsid w:val="00D626D4"/>
    <w:rsid w:val="00D66825"/>
    <w:rsid w:val="00D70148"/>
    <w:rsid w:val="00D71B2C"/>
    <w:rsid w:val="00D73E97"/>
    <w:rsid w:val="00D87E1B"/>
    <w:rsid w:val="00D93DE0"/>
    <w:rsid w:val="00D96702"/>
    <w:rsid w:val="00D96D7C"/>
    <w:rsid w:val="00DA112D"/>
    <w:rsid w:val="00DA29CA"/>
    <w:rsid w:val="00DA3EF5"/>
    <w:rsid w:val="00DA733D"/>
    <w:rsid w:val="00DA7A04"/>
    <w:rsid w:val="00DB07EB"/>
    <w:rsid w:val="00DB4A4A"/>
    <w:rsid w:val="00DB560E"/>
    <w:rsid w:val="00DC3436"/>
    <w:rsid w:val="00DC6A71"/>
    <w:rsid w:val="00DD00FE"/>
    <w:rsid w:val="00DD48A7"/>
    <w:rsid w:val="00DD5E7A"/>
    <w:rsid w:val="00DD75F1"/>
    <w:rsid w:val="00DE1FCD"/>
    <w:rsid w:val="00DE7B92"/>
    <w:rsid w:val="00DF6540"/>
    <w:rsid w:val="00DF6C24"/>
    <w:rsid w:val="00DF77DB"/>
    <w:rsid w:val="00E0129A"/>
    <w:rsid w:val="00E02969"/>
    <w:rsid w:val="00E056F9"/>
    <w:rsid w:val="00E06BF8"/>
    <w:rsid w:val="00E07C1A"/>
    <w:rsid w:val="00E10628"/>
    <w:rsid w:val="00E1337D"/>
    <w:rsid w:val="00E13BF3"/>
    <w:rsid w:val="00E14A9F"/>
    <w:rsid w:val="00E16F33"/>
    <w:rsid w:val="00E17261"/>
    <w:rsid w:val="00E1739E"/>
    <w:rsid w:val="00E22F42"/>
    <w:rsid w:val="00E249BB"/>
    <w:rsid w:val="00E24A61"/>
    <w:rsid w:val="00E25E9B"/>
    <w:rsid w:val="00E26921"/>
    <w:rsid w:val="00E37644"/>
    <w:rsid w:val="00E41599"/>
    <w:rsid w:val="00E417AA"/>
    <w:rsid w:val="00E41B8A"/>
    <w:rsid w:val="00E42BB8"/>
    <w:rsid w:val="00E437D4"/>
    <w:rsid w:val="00E443D7"/>
    <w:rsid w:val="00E445B2"/>
    <w:rsid w:val="00E45662"/>
    <w:rsid w:val="00E54FDA"/>
    <w:rsid w:val="00E560FB"/>
    <w:rsid w:val="00E575D8"/>
    <w:rsid w:val="00E662D7"/>
    <w:rsid w:val="00E71406"/>
    <w:rsid w:val="00E760C3"/>
    <w:rsid w:val="00E7752B"/>
    <w:rsid w:val="00E776A8"/>
    <w:rsid w:val="00E80974"/>
    <w:rsid w:val="00E85233"/>
    <w:rsid w:val="00E85B20"/>
    <w:rsid w:val="00E91972"/>
    <w:rsid w:val="00E92ED1"/>
    <w:rsid w:val="00E96241"/>
    <w:rsid w:val="00EA26B6"/>
    <w:rsid w:val="00EA46F5"/>
    <w:rsid w:val="00EA4CB2"/>
    <w:rsid w:val="00EA597D"/>
    <w:rsid w:val="00EA5F32"/>
    <w:rsid w:val="00EA61AA"/>
    <w:rsid w:val="00EA7292"/>
    <w:rsid w:val="00EA7EFE"/>
    <w:rsid w:val="00EB10FA"/>
    <w:rsid w:val="00EC0A89"/>
    <w:rsid w:val="00EC1423"/>
    <w:rsid w:val="00EC4938"/>
    <w:rsid w:val="00EC4E5B"/>
    <w:rsid w:val="00EC727E"/>
    <w:rsid w:val="00ED0B02"/>
    <w:rsid w:val="00ED2130"/>
    <w:rsid w:val="00EE0C75"/>
    <w:rsid w:val="00EE5F92"/>
    <w:rsid w:val="00EF1366"/>
    <w:rsid w:val="00F00FB0"/>
    <w:rsid w:val="00F020A9"/>
    <w:rsid w:val="00F063C3"/>
    <w:rsid w:val="00F066FF"/>
    <w:rsid w:val="00F14D23"/>
    <w:rsid w:val="00F155CA"/>
    <w:rsid w:val="00F1569A"/>
    <w:rsid w:val="00F157A7"/>
    <w:rsid w:val="00F15A8E"/>
    <w:rsid w:val="00F16927"/>
    <w:rsid w:val="00F215FD"/>
    <w:rsid w:val="00F24909"/>
    <w:rsid w:val="00F24EE0"/>
    <w:rsid w:val="00F26F4F"/>
    <w:rsid w:val="00F31D2A"/>
    <w:rsid w:val="00F46179"/>
    <w:rsid w:val="00F462F1"/>
    <w:rsid w:val="00F46B2D"/>
    <w:rsid w:val="00F47110"/>
    <w:rsid w:val="00F47A7B"/>
    <w:rsid w:val="00F511EC"/>
    <w:rsid w:val="00F54FA7"/>
    <w:rsid w:val="00F619D8"/>
    <w:rsid w:val="00F61FE8"/>
    <w:rsid w:val="00F67217"/>
    <w:rsid w:val="00F6758F"/>
    <w:rsid w:val="00F73660"/>
    <w:rsid w:val="00F73F1F"/>
    <w:rsid w:val="00F75FDC"/>
    <w:rsid w:val="00F76C8D"/>
    <w:rsid w:val="00F802A9"/>
    <w:rsid w:val="00F8128A"/>
    <w:rsid w:val="00F84635"/>
    <w:rsid w:val="00F84DEC"/>
    <w:rsid w:val="00F90066"/>
    <w:rsid w:val="00F90988"/>
    <w:rsid w:val="00F9342F"/>
    <w:rsid w:val="00FA0AE6"/>
    <w:rsid w:val="00FA21C2"/>
    <w:rsid w:val="00FA338A"/>
    <w:rsid w:val="00FB0A35"/>
    <w:rsid w:val="00FB240F"/>
    <w:rsid w:val="00FB438B"/>
    <w:rsid w:val="00FB43CE"/>
    <w:rsid w:val="00FB6AAA"/>
    <w:rsid w:val="00FB79FA"/>
    <w:rsid w:val="00FC0194"/>
    <w:rsid w:val="00FC361B"/>
    <w:rsid w:val="00FC3A3A"/>
    <w:rsid w:val="00FC4A0F"/>
    <w:rsid w:val="00FC7C19"/>
    <w:rsid w:val="00FC7F8D"/>
    <w:rsid w:val="00FD0A2B"/>
    <w:rsid w:val="00FD1920"/>
    <w:rsid w:val="00FD7B16"/>
    <w:rsid w:val="00FE230E"/>
    <w:rsid w:val="00FE3F56"/>
    <w:rsid w:val="00FF61A9"/>
    <w:rsid w:val="00FF6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eaeaea,#f8f8f8,#6cf,#cc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A04"/>
    <w:rPr>
      <w:rFonts w:ascii="Arial" w:hAnsi="Arial"/>
    </w:rPr>
  </w:style>
  <w:style w:type="paragraph" w:styleId="Heading1">
    <w:name w:val="heading 1"/>
    <w:basedOn w:val="Normal"/>
    <w:next w:val="Normal"/>
    <w:qFormat/>
    <w:rsid w:val="00A51A04"/>
    <w:pPr>
      <w:keepNext/>
      <w:outlineLvl w:val="0"/>
    </w:pPr>
    <w:rPr>
      <w:snapToGrid w:val="0"/>
      <w:color w:val="000000"/>
      <w:sz w:val="32"/>
    </w:rPr>
  </w:style>
  <w:style w:type="paragraph" w:styleId="Heading2">
    <w:name w:val="heading 2"/>
    <w:basedOn w:val="Normal"/>
    <w:next w:val="Normal"/>
    <w:qFormat/>
    <w:rsid w:val="00A51A04"/>
    <w:pPr>
      <w:keepNext/>
      <w:outlineLvl w:val="1"/>
    </w:pPr>
    <w:rPr>
      <w:sz w:val="32"/>
    </w:rPr>
  </w:style>
  <w:style w:type="paragraph" w:styleId="Heading3">
    <w:name w:val="heading 3"/>
    <w:basedOn w:val="Normal"/>
    <w:next w:val="Normal"/>
    <w:qFormat/>
    <w:rsid w:val="00A51A04"/>
    <w:pPr>
      <w:keepNext/>
      <w:outlineLvl w:val="2"/>
    </w:pPr>
    <w:rPr>
      <w:snapToGrid w:val="0"/>
      <w:color w:val="000000"/>
      <w:sz w:val="28"/>
    </w:rPr>
  </w:style>
  <w:style w:type="paragraph" w:styleId="Heading4">
    <w:name w:val="heading 4"/>
    <w:basedOn w:val="Normal"/>
    <w:next w:val="Normal"/>
    <w:qFormat/>
    <w:rsid w:val="00A51A04"/>
    <w:pPr>
      <w:keepNext/>
      <w:outlineLvl w:val="3"/>
    </w:pPr>
    <w:rPr>
      <w:b/>
      <w:snapToGrid w:val="0"/>
      <w:color w:val="000000"/>
      <w:sz w:val="18"/>
    </w:rPr>
  </w:style>
  <w:style w:type="paragraph" w:styleId="Heading5">
    <w:name w:val="heading 5"/>
    <w:basedOn w:val="Normal"/>
    <w:next w:val="Normal"/>
    <w:qFormat/>
    <w:rsid w:val="00A51A04"/>
    <w:pPr>
      <w:keepNext/>
      <w:outlineLvl w:val="4"/>
    </w:pPr>
    <w:rPr>
      <w:b/>
      <w:snapToGrid w:val="0"/>
      <w:color w:val="000000"/>
      <w:position w:val="-20"/>
    </w:rPr>
  </w:style>
  <w:style w:type="paragraph" w:styleId="Heading6">
    <w:name w:val="heading 6"/>
    <w:basedOn w:val="Normal"/>
    <w:next w:val="Normal"/>
    <w:qFormat/>
    <w:rsid w:val="00A51A04"/>
    <w:pPr>
      <w:keepNext/>
      <w:jc w:val="center"/>
      <w:outlineLvl w:val="5"/>
    </w:pPr>
    <w:rPr>
      <w:b/>
      <w:snapToGrid w:val="0"/>
      <w:color w:val="000000"/>
      <w:u w:val="single"/>
    </w:rPr>
  </w:style>
  <w:style w:type="paragraph" w:styleId="Heading7">
    <w:name w:val="heading 7"/>
    <w:basedOn w:val="Normal"/>
    <w:next w:val="Normal"/>
    <w:qFormat/>
    <w:rsid w:val="00A51A04"/>
    <w:pPr>
      <w:keepNext/>
      <w:outlineLvl w:val="6"/>
    </w:pPr>
    <w:rPr>
      <w:b/>
      <w:snapToGrid w:val="0"/>
      <w:color w:val="000000"/>
      <w:sz w:val="16"/>
    </w:rPr>
  </w:style>
  <w:style w:type="paragraph" w:styleId="Heading8">
    <w:name w:val="heading 8"/>
    <w:basedOn w:val="Normal"/>
    <w:next w:val="Normal"/>
    <w:link w:val="Heading8Char"/>
    <w:qFormat/>
    <w:rsid w:val="00A51A04"/>
    <w:pPr>
      <w:keepNext/>
      <w:ind w:left="1440"/>
      <w:outlineLvl w:val="7"/>
    </w:pPr>
    <w:rPr>
      <w:b/>
      <w:snapToGrid w:val="0"/>
      <w:color w:val="000000"/>
      <w:sz w:val="16"/>
    </w:rPr>
  </w:style>
  <w:style w:type="paragraph" w:styleId="Heading9">
    <w:name w:val="heading 9"/>
    <w:basedOn w:val="Normal"/>
    <w:next w:val="Normal"/>
    <w:qFormat/>
    <w:rsid w:val="00A51A04"/>
    <w:pPr>
      <w:keepNext/>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1A04"/>
    <w:pPr>
      <w:tabs>
        <w:tab w:val="center" w:pos="4320"/>
        <w:tab w:val="right" w:pos="8640"/>
      </w:tabs>
    </w:pPr>
  </w:style>
  <w:style w:type="paragraph" w:styleId="Footer">
    <w:name w:val="footer"/>
    <w:basedOn w:val="Normal"/>
    <w:link w:val="FooterChar"/>
    <w:uiPriority w:val="99"/>
    <w:rsid w:val="00A51A04"/>
    <w:pPr>
      <w:tabs>
        <w:tab w:val="center" w:pos="4320"/>
        <w:tab w:val="right" w:pos="8640"/>
      </w:tabs>
    </w:pPr>
  </w:style>
  <w:style w:type="character" w:styleId="PageNumber">
    <w:name w:val="page number"/>
    <w:basedOn w:val="DefaultParagraphFont"/>
    <w:rsid w:val="00A51A04"/>
  </w:style>
  <w:style w:type="paragraph" w:styleId="BodyText">
    <w:name w:val="Body Text"/>
    <w:basedOn w:val="Normal"/>
    <w:rsid w:val="00A51A04"/>
    <w:rPr>
      <w:b/>
      <w:sz w:val="28"/>
    </w:rPr>
  </w:style>
  <w:style w:type="paragraph" w:styleId="BodyText2">
    <w:name w:val="Body Text 2"/>
    <w:basedOn w:val="Normal"/>
    <w:rsid w:val="00A51A04"/>
    <w:pPr>
      <w:jc w:val="center"/>
    </w:pPr>
    <w:rPr>
      <w:b/>
      <w:snapToGrid w:val="0"/>
      <w:color w:val="000000"/>
      <w:sz w:val="18"/>
      <w:u w:val="single"/>
    </w:rPr>
  </w:style>
  <w:style w:type="paragraph" w:styleId="BodyText3">
    <w:name w:val="Body Text 3"/>
    <w:basedOn w:val="Normal"/>
    <w:rsid w:val="00A51A04"/>
    <w:pPr>
      <w:jc w:val="center"/>
    </w:pPr>
    <w:rPr>
      <w:b/>
      <w:snapToGrid w:val="0"/>
      <w:color w:val="000000"/>
      <w:sz w:val="18"/>
    </w:rPr>
  </w:style>
  <w:style w:type="paragraph" w:styleId="BodyTextIndent">
    <w:name w:val="Body Text Indent"/>
    <w:basedOn w:val="Normal"/>
    <w:link w:val="BodyTextIndentChar"/>
    <w:rsid w:val="00A51A04"/>
    <w:pPr>
      <w:ind w:left="360"/>
    </w:pPr>
    <w:rPr>
      <w:sz w:val="22"/>
    </w:rPr>
  </w:style>
  <w:style w:type="table" w:styleId="TableGrid">
    <w:name w:val="Table Grid"/>
    <w:basedOn w:val="TableNormal"/>
    <w:rsid w:val="00EF1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A520A"/>
    <w:rPr>
      <w:color w:val="0000FF"/>
      <w:u w:val="single"/>
    </w:rPr>
  </w:style>
  <w:style w:type="paragraph" w:styleId="BalloonText">
    <w:name w:val="Balloon Text"/>
    <w:basedOn w:val="Normal"/>
    <w:semiHidden/>
    <w:rsid w:val="0025272B"/>
    <w:rPr>
      <w:rFonts w:ascii="Tahoma" w:hAnsi="Tahoma" w:cs="Tahoma"/>
      <w:sz w:val="16"/>
      <w:szCs w:val="16"/>
    </w:rPr>
  </w:style>
  <w:style w:type="character" w:customStyle="1" w:styleId="FooterChar">
    <w:name w:val="Footer Char"/>
    <w:basedOn w:val="DefaultParagraphFont"/>
    <w:link w:val="Footer"/>
    <w:uiPriority w:val="99"/>
    <w:rsid w:val="00DB07EB"/>
    <w:rPr>
      <w:rFonts w:ascii="Arial" w:hAnsi="Arial"/>
    </w:rPr>
  </w:style>
  <w:style w:type="character" w:customStyle="1" w:styleId="BodyTextIndentChar">
    <w:name w:val="Body Text Indent Char"/>
    <w:basedOn w:val="DefaultParagraphFont"/>
    <w:link w:val="BodyTextIndent"/>
    <w:rsid w:val="00035757"/>
    <w:rPr>
      <w:rFonts w:ascii="Arial" w:hAnsi="Arial"/>
      <w:sz w:val="22"/>
    </w:rPr>
  </w:style>
  <w:style w:type="character" w:customStyle="1" w:styleId="HeaderChar">
    <w:name w:val="Header Char"/>
    <w:basedOn w:val="DefaultParagraphFont"/>
    <w:link w:val="Header"/>
    <w:uiPriority w:val="99"/>
    <w:rsid w:val="00035757"/>
    <w:rPr>
      <w:rFonts w:ascii="Arial" w:hAnsi="Arial"/>
    </w:rPr>
  </w:style>
  <w:style w:type="paragraph" w:styleId="ListParagraph">
    <w:name w:val="List Paragraph"/>
    <w:basedOn w:val="Normal"/>
    <w:uiPriority w:val="34"/>
    <w:qFormat/>
    <w:rsid w:val="00035757"/>
    <w:pPr>
      <w:spacing w:after="200" w:line="276" w:lineRule="auto"/>
      <w:ind w:left="720"/>
      <w:contextualSpacing/>
    </w:pPr>
    <w:rPr>
      <w:rFonts w:ascii="Calibri" w:hAnsi="Calibri"/>
      <w:sz w:val="22"/>
      <w:szCs w:val="22"/>
    </w:rPr>
  </w:style>
  <w:style w:type="paragraph" w:styleId="PlainText">
    <w:name w:val="Plain Text"/>
    <w:basedOn w:val="Normal"/>
    <w:link w:val="PlainTextChar"/>
    <w:rsid w:val="0065462A"/>
    <w:rPr>
      <w:rFonts w:ascii="Courier New" w:hAnsi="Courier New"/>
      <w:snapToGrid w:val="0"/>
      <w:sz w:val="24"/>
    </w:rPr>
  </w:style>
  <w:style w:type="character" w:customStyle="1" w:styleId="PlainTextChar">
    <w:name w:val="Plain Text Char"/>
    <w:basedOn w:val="DefaultParagraphFont"/>
    <w:link w:val="PlainText"/>
    <w:rsid w:val="0065462A"/>
    <w:rPr>
      <w:rFonts w:ascii="Courier New" w:hAnsi="Courier New"/>
      <w:snapToGrid w:val="0"/>
      <w:sz w:val="24"/>
    </w:rPr>
  </w:style>
  <w:style w:type="character" w:styleId="FollowedHyperlink">
    <w:name w:val="FollowedHyperlink"/>
    <w:basedOn w:val="DefaultParagraphFont"/>
    <w:rsid w:val="00366F00"/>
    <w:rPr>
      <w:color w:val="800080"/>
      <w:u w:val="single"/>
    </w:rPr>
  </w:style>
  <w:style w:type="paragraph" w:styleId="NormalWeb">
    <w:name w:val="Normal (Web)"/>
    <w:basedOn w:val="Normal"/>
    <w:uiPriority w:val="99"/>
    <w:unhideWhenUsed/>
    <w:rsid w:val="008279AC"/>
    <w:pPr>
      <w:spacing w:before="100" w:beforeAutospacing="1" w:after="100" w:afterAutospacing="1"/>
    </w:pPr>
    <w:rPr>
      <w:rFonts w:ascii="Times New Roman" w:hAnsi="Times New Roman"/>
      <w:sz w:val="24"/>
      <w:szCs w:val="24"/>
    </w:rPr>
  </w:style>
  <w:style w:type="character" w:customStyle="1" w:styleId="Heading8Char">
    <w:name w:val="Heading 8 Char"/>
    <w:basedOn w:val="DefaultParagraphFont"/>
    <w:link w:val="Heading8"/>
    <w:rsid w:val="000043BA"/>
    <w:rPr>
      <w:rFonts w:ascii="Arial" w:hAnsi="Arial"/>
      <w:b/>
      <w:snapToGrid w:val="0"/>
      <w:color w:val="000000"/>
      <w:sz w:val="16"/>
    </w:rPr>
  </w:style>
  <w:style w:type="paragraph" w:styleId="BlockText">
    <w:name w:val="Block Text"/>
    <w:basedOn w:val="Normal"/>
    <w:rsid w:val="000043BA"/>
    <w:pPr>
      <w:ind w:left="113" w:right="113"/>
      <w:jc w:val="center"/>
    </w:pPr>
    <w:rPr>
      <w:b/>
      <w:snapToGrid w:val="0"/>
      <w:color w:val="000000"/>
      <w:position w:val="-30"/>
      <w:sz w:val="24"/>
    </w:rPr>
  </w:style>
  <w:style w:type="paragraph" w:styleId="NoSpacing">
    <w:name w:val="No Spacing"/>
    <w:link w:val="NoSpacingChar"/>
    <w:uiPriority w:val="1"/>
    <w:qFormat/>
    <w:rsid w:val="000043BA"/>
    <w:rPr>
      <w:rFonts w:ascii="Arial" w:hAnsi="Arial"/>
    </w:rPr>
  </w:style>
  <w:style w:type="character" w:customStyle="1" w:styleId="NoSpacingChar">
    <w:name w:val="No Spacing Char"/>
    <w:basedOn w:val="DefaultParagraphFont"/>
    <w:link w:val="NoSpacing"/>
    <w:uiPriority w:val="1"/>
    <w:rsid w:val="007510FA"/>
    <w:rPr>
      <w:rFonts w:ascii="Arial" w:hAnsi="Arial"/>
      <w:lang w:val="en-US" w:eastAsia="en-US" w:bidi="ar-SA"/>
    </w:rPr>
  </w:style>
  <w:style w:type="character" w:styleId="Emphasis">
    <w:name w:val="Emphasis"/>
    <w:basedOn w:val="DefaultParagraphFont"/>
    <w:qFormat/>
    <w:rsid w:val="007510FA"/>
    <w:rPr>
      <w:i/>
      <w:iCs/>
    </w:rPr>
  </w:style>
  <w:style w:type="table" w:styleId="TableSimple2">
    <w:name w:val="Table Simple 2"/>
    <w:basedOn w:val="TableNormal"/>
    <w:rsid w:val="00351EF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91578234">
      <w:bodyDiv w:val="1"/>
      <w:marLeft w:val="0"/>
      <w:marRight w:val="0"/>
      <w:marTop w:val="0"/>
      <w:marBottom w:val="0"/>
      <w:divBdr>
        <w:top w:val="none" w:sz="0" w:space="0" w:color="auto"/>
        <w:left w:val="none" w:sz="0" w:space="0" w:color="auto"/>
        <w:bottom w:val="none" w:sz="0" w:space="0" w:color="auto"/>
        <w:right w:val="none" w:sz="0" w:space="0" w:color="auto"/>
      </w:divBdr>
    </w:div>
    <w:div w:id="628246708">
      <w:bodyDiv w:val="1"/>
      <w:marLeft w:val="0"/>
      <w:marRight w:val="0"/>
      <w:marTop w:val="0"/>
      <w:marBottom w:val="0"/>
      <w:divBdr>
        <w:top w:val="none" w:sz="0" w:space="0" w:color="auto"/>
        <w:left w:val="none" w:sz="0" w:space="0" w:color="auto"/>
        <w:bottom w:val="none" w:sz="0" w:space="0" w:color="auto"/>
        <w:right w:val="none" w:sz="0" w:space="0" w:color="auto"/>
      </w:divBdr>
    </w:div>
    <w:div w:id="819425381">
      <w:bodyDiv w:val="1"/>
      <w:marLeft w:val="0"/>
      <w:marRight w:val="0"/>
      <w:marTop w:val="0"/>
      <w:marBottom w:val="0"/>
      <w:divBdr>
        <w:top w:val="none" w:sz="0" w:space="0" w:color="auto"/>
        <w:left w:val="none" w:sz="0" w:space="0" w:color="auto"/>
        <w:bottom w:val="none" w:sz="0" w:space="0" w:color="auto"/>
        <w:right w:val="none" w:sz="0" w:space="0" w:color="auto"/>
      </w:divBdr>
    </w:div>
    <w:div w:id="868488235">
      <w:bodyDiv w:val="1"/>
      <w:marLeft w:val="0"/>
      <w:marRight w:val="0"/>
      <w:marTop w:val="0"/>
      <w:marBottom w:val="0"/>
      <w:divBdr>
        <w:top w:val="none" w:sz="0" w:space="0" w:color="auto"/>
        <w:left w:val="none" w:sz="0" w:space="0" w:color="auto"/>
        <w:bottom w:val="none" w:sz="0" w:space="0" w:color="auto"/>
        <w:right w:val="none" w:sz="0" w:space="0" w:color="auto"/>
      </w:divBdr>
    </w:div>
    <w:div w:id="1408648187">
      <w:bodyDiv w:val="1"/>
      <w:marLeft w:val="0"/>
      <w:marRight w:val="0"/>
      <w:marTop w:val="0"/>
      <w:marBottom w:val="0"/>
      <w:divBdr>
        <w:top w:val="none" w:sz="0" w:space="0" w:color="auto"/>
        <w:left w:val="none" w:sz="0" w:space="0" w:color="auto"/>
        <w:bottom w:val="none" w:sz="0" w:space="0" w:color="auto"/>
        <w:right w:val="none" w:sz="0" w:space="0" w:color="auto"/>
      </w:divBdr>
    </w:div>
    <w:div w:id="1460105973">
      <w:bodyDiv w:val="1"/>
      <w:marLeft w:val="0"/>
      <w:marRight w:val="0"/>
      <w:marTop w:val="0"/>
      <w:marBottom w:val="0"/>
      <w:divBdr>
        <w:top w:val="none" w:sz="0" w:space="0" w:color="auto"/>
        <w:left w:val="none" w:sz="0" w:space="0" w:color="auto"/>
        <w:bottom w:val="none" w:sz="0" w:space="0" w:color="auto"/>
        <w:right w:val="none" w:sz="0" w:space="0" w:color="auto"/>
      </w:divBdr>
    </w:div>
    <w:div w:id="18674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tInMissouri@ded.mo.gov" TargetMode="External"/><Relationship Id="rId5" Type="http://schemas.openxmlformats.org/officeDocument/2006/relationships/webSettings" Target="webSettings.xml"/><Relationship Id="rId10" Type="http://schemas.openxmlformats.org/officeDocument/2006/relationships/hyperlink" Target="mailto:MeetInMissouri@ded.mo.gov" TargetMode="External"/><Relationship Id="rId4" Type="http://schemas.openxmlformats.org/officeDocument/2006/relationships/settings" Target="settings.xml"/><Relationship Id="rId9" Type="http://schemas.openxmlformats.org/officeDocument/2006/relationships/hyperlink" Target="Industry.VisitM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85A0E-7263-41B2-9D0D-74846637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6</Pages>
  <Words>2525</Words>
  <Characters>13587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MO Dept Of Eco Dev</Company>
  <LinksUpToDate>false</LinksUpToDate>
  <CharactersWithSpaces>16080</CharactersWithSpaces>
  <SharedDoc>false</SharedDoc>
  <HLinks>
    <vt:vector size="6" baseType="variant">
      <vt:variant>
        <vt:i4>2883673</vt:i4>
      </vt:variant>
      <vt:variant>
        <vt:i4>0</vt:i4>
      </vt:variant>
      <vt:variant>
        <vt:i4>0</vt:i4>
      </vt:variant>
      <vt:variant>
        <vt:i4>5</vt:i4>
      </vt:variant>
      <vt:variant>
        <vt:lpwstr>mailto:MeetInMissour@DED.mo.gov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tracy.otto</dc:creator>
  <cp:lastModifiedBy>megan.rogers</cp:lastModifiedBy>
  <cp:revision>48</cp:revision>
  <cp:lastPrinted>2016-10-03T18:40:00Z</cp:lastPrinted>
  <dcterms:created xsi:type="dcterms:W3CDTF">2016-08-25T14:00:00Z</dcterms:created>
  <dcterms:modified xsi:type="dcterms:W3CDTF">2016-12-07T20:04:00Z</dcterms:modified>
</cp:coreProperties>
</file>